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209"/>
      </w:tblGrid>
      <w:tr w:rsidR="00093205" w:rsidRPr="00CD3FB8" w14:paraId="441F9D2B" w14:textId="77777777" w:rsidTr="00093205">
        <w:tc>
          <w:tcPr>
            <w:tcW w:w="3078" w:type="dxa"/>
          </w:tcPr>
          <w:p w14:paraId="19C931A4"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ỦY BAN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42F02687">
                      <wp:simplePos x="0" y="0"/>
                      <wp:positionH relativeFrom="column">
                        <wp:posOffset>638175</wp:posOffset>
                      </wp:positionH>
                      <wp:positionV relativeFrom="paragraph">
                        <wp:posOffset>28574</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36F3E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25pt" to="9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" strokecolor="black [3213]" strokeweight="1pt">
                      <v:stroke joinstyle="miter"/>
                      <o:lock v:ext="edit" shapetype="f"/>
                    </v:line>
                  </w:pict>
                </mc:Fallback>
              </mc:AlternateContent>
            </w:r>
          </w:p>
          <w:p w14:paraId="2EB5D06D"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/TTr-UBND</w:t>
            </w:r>
          </w:p>
        </w:tc>
        <w:tc>
          <w:tcPr>
            <w:tcW w:w="6209"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14454416">
                      <wp:simplePos x="0" y="0"/>
                      <wp:positionH relativeFrom="column">
                        <wp:posOffset>756285</wp:posOffset>
                      </wp:positionH>
                      <wp:positionV relativeFrom="paragraph">
                        <wp:posOffset>22859</wp:posOffset>
                      </wp:positionV>
                      <wp:extent cx="22701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C7481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1.8pt" to="23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" strokecolor="black [3213]" strokeweight="1pt">
                      <v:stroke joinstyle="miter"/>
                      <o:lock v:ext="edit" shapetype="f"/>
                    </v:line>
                  </w:pict>
                </mc:Fallback>
              </mc:AlternateContent>
            </w:r>
          </w:p>
          <w:p w14:paraId="093B5459" w14:textId="77777777" w:rsidR="00093205" w:rsidRPr="00CD3FB8" w:rsidRDefault="00093205" w:rsidP="0063131D">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tháng  </w:t>
            </w:r>
            <w:r w:rsidR="0063131D">
              <w:rPr>
                <w:rFonts w:ascii="Times New Roman" w:eastAsia="Times New Roman" w:hAnsi="Times New Roman" w:cs="Times New Roman"/>
                <w:i/>
                <w:sz w:val="28"/>
                <w:lang w:val="en-US"/>
              </w:rPr>
              <w:t xml:space="preserve">    </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053AFF02" w14:textId="77777777" w:rsidR="00F06DED" w:rsidRPr="006741DF" w:rsidRDefault="00F06DED" w:rsidP="003B15DD">
      <w:pPr>
        <w:spacing w:line="0" w:lineRule="atLeast"/>
        <w:ind w:right="-259"/>
        <w:jc w:val="center"/>
        <w:rPr>
          <w:rFonts w:ascii="Times New Roman" w:eastAsia="Times New Roman" w:hAnsi="Times New Roman" w:cs="Times New Roman"/>
          <w:b/>
          <w:sz w:val="16"/>
        </w:rPr>
      </w:pPr>
    </w:p>
    <w:p w14:paraId="452082FD" w14:textId="7CE20086" w:rsidR="003B15DD" w:rsidRPr="00CD3FB8" w:rsidRDefault="003B15DD" w:rsidP="003B15DD">
      <w:pPr>
        <w:spacing w:line="0" w:lineRule="atLeast"/>
        <w:ind w:right="-259"/>
        <w:jc w:val="center"/>
        <w:rPr>
          <w:rFonts w:ascii="Times New Roman" w:eastAsia="Times New Roman" w:hAnsi="Times New Roman" w:cs="Times New Roman"/>
          <w:b/>
          <w:sz w:val="28"/>
        </w:rPr>
      </w:pPr>
      <w:r w:rsidRPr="00CD3FB8">
        <w:rPr>
          <w:rFonts w:ascii="Times New Roman" w:eastAsia="Times New Roman" w:hAnsi="Times New Roman" w:cs="Times New Roman"/>
          <w:b/>
          <w:sz w:val="28"/>
        </w:rPr>
        <w:t>TỜ TRÌNH</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4851D456" w14:textId="165BBC0E" w:rsidR="00E01CD4" w:rsidRDefault="00E01CD4" w:rsidP="00E01CD4">
      <w:pPr>
        <w:pStyle w:val="BodyText2"/>
        <w:spacing w:after="0" w:line="240" w:lineRule="auto"/>
        <w:jc w:val="center"/>
        <w:rPr>
          <w:rFonts w:ascii="Times New Roman" w:hAnsi="Times New Roman"/>
          <w:b/>
          <w:sz w:val="28"/>
          <w:szCs w:val="28"/>
          <w:lang w:val="en-US"/>
        </w:rPr>
      </w:pPr>
      <w:r w:rsidRPr="00E01CD4">
        <w:rPr>
          <w:rFonts w:ascii="Times New Roman" w:hAnsi="Times New Roman"/>
          <w:b/>
          <w:sz w:val="28"/>
          <w:szCs w:val="28"/>
        </w:rPr>
        <w:t xml:space="preserve">Về việc </w:t>
      </w:r>
      <w:r w:rsidR="0079682C" w:rsidRPr="0079682C">
        <w:rPr>
          <w:rFonts w:ascii="Times New Roman" w:hAnsi="Times New Roman"/>
          <w:b/>
          <w:sz w:val="28"/>
          <w:szCs w:val="28"/>
        </w:rPr>
        <w:t>điều chỉnh kế hoạch đầu tư công trung hạn giai đoạn 2021-2025</w:t>
      </w:r>
    </w:p>
    <w:p w14:paraId="064BD577" w14:textId="77777777" w:rsidR="00E01CD4" w:rsidRPr="00E01CD4" w:rsidRDefault="00E01CD4" w:rsidP="00E01CD4">
      <w:pPr>
        <w:pStyle w:val="BodyText2"/>
        <w:spacing w:after="0" w:line="240" w:lineRule="auto"/>
        <w:jc w:val="center"/>
        <w:rPr>
          <w:rFonts w:ascii="Times New Roman" w:hAnsi="Times New Roman"/>
          <w:b/>
          <w:sz w:val="28"/>
          <w:szCs w:val="28"/>
        </w:rPr>
      </w:pPr>
      <w:r w:rsidRPr="00E01CD4">
        <w:rPr>
          <w:rFonts w:ascii="Times New Roman" w:hAnsi="Times New Roman"/>
          <w:b/>
          <w:sz w:val="28"/>
          <w:szCs w:val="28"/>
        </w:rPr>
        <w:t>nguồn vốn cân đối ngân sách địa phương</w:t>
      </w:r>
    </w:p>
    <w:p w14:paraId="2648F120" w14:textId="77777777"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1AE002F0">
                <wp:simplePos x="0" y="0"/>
                <wp:positionH relativeFrom="column">
                  <wp:posOffset>2443480</wp:posOffset>
                </wp:positionH>
                <wp:positionV relativeFrom="paragraph">
                  <wp:posOffset>27940</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D652BF"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4pt,2.2pt" to="28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" strokecolor="black [3213]" strokeweight="1pt">
                <v:stroke joinstyle="miter"/>
                <o:lock v:ext="edit" shapetype="f"/>
              </v:line>
            </w:pict>
          </mc:Fallback>
        </mc:AlternateContent>
      </w:r>
    </w:p>
    <w:p w14:paraId="5757299F" w14:textId="77777777" w:rsidR="00DB67B8" w:rsidRPr="006741DF" w:rsidRDefault="00DB67B8" w:rsidP="003B15DD">
      <w:pPr>
        <w:jc w:val="center"/>
        <w:rPr>
          <w:rFonts w:ascii="Times New Roman" w:eastAsia="Times New Roman" w:hAnsi="Times New Roman" w:cs="Times New Roman"/>
          <w:b/>
          <w:sz w:val="16"/>
        </w:rPr>
      </w:pPr>
    </w:p>
    <w:p w14:paraId="45E4A02A" w14:textId="77777777" w:rsidR="003B15DD" w:rsidRPr="00CD3FB8" w:rsidRDefault="003B15DD" w:rsidP="00936869">
      <w:pPr>
        <w:ind w:right="-259"/>
        <w:jc w:val="center"/>
        <w:rPr>
          <w:rFonts w:ascii="Times New Roman" w:eastAsia="Times New Roman" w:hAnsi="Times New Roman" w:cs="Times New Roman"/>
          <w:sz w:val="28"/>
          <w:lang w:val="en-US"/>
        </w:rPr>
      </w:pPr>
      <w:r w:rsidRPr="00CD3FB8">
        <w:rPr>
          <w:rFonts w:ascii="Times New Roman" w:eastAsia="Times New Roman" w:hAnsi="Times New Roman" w:cs="Times New Roman"/>
          <w:sz w:val="28"/>
        </w:rPr>
        <w:t>Kính gửi: Hội đồng nhân dân tỉnh</w:t>
      </w:r>
    </w:p>
    <w:p w14:paraId="513637FF" w14:textId="65AD72D5" w:rsidR="00780297" w:rsidRPr="006741DF" w:rsidRDefault="00780297" w:rsidP="00B9278B">
      <w:pPr>
        <w:spacing w:before="40" w:after="40" w:line="380" w:lineRule="exact"/>
        <w:ind w:firstLine="567"/>
        <w:jc w:val="both"/>
        <w:rPr>
          <w:rFonts w:ascii="Times New Roman" w:eastAsia="Times New Roman" w:hAnsi="Times New Roman" w:cs="Times New Roman"/>
          <w:sz w:val="14"/>
          <w:lang w:val="en-US"/>
        </w:rPr>
      </w:pPr>
    </w:p>
    <w:p w14:paraId="280F1D76" w14:textId="1D2A0EB7" w:rsidR="00DB0EF9" w:rsidRPr="00BD169D" w:rsidRDefault="0079682C" w:rsidP="00BD169D">
      <w:pPr>
        <w:spacing w:before="80" w:after="80" w:line="340" w:lineRule="exact"/>
        <w:ind w:firstLine="720"/>
        <w:jc w:val="both"/>
        <w:rPr>
          <w:rFonts w:ascii="Times New Roman" w:eastAsia="Times New Roman" w:hAnsi="Times New Roman" w:cs="Times New Roman"/>
          <w:sz w:val="28"/>
          <w:szCs w:val="28"/>
        </w:rPr>
      </w:pPr>
      <w:r w:rsidRPr="0079682C">
        <w:rPr>
          <w:rFonts w:ascii="Times New Roman" w:eastAsia="Times New Roman" w:hAnsi="Times New Roman" w:cs="Times New Roman"/>
          <w:sz w:val="28"/>
          <w:szCs w:val="28"/>
        </w:rPr>
        <w:t>Căn cứ kế hoạch đầu tư công trung hạn giai đoạn 2021-2025 nguồn vốn cân đối ngân sách địa phương đã được Hội đồng nhân dân tỉnh giao tại các Nghị quyết số 137/NQ-HĐND ngày 30/8/2021, số 145/NQ-HĐND ngày 15/11/2021, số 158/NQ-HĐND ngày 9/12/2021, số 41/NQ-HĐND ngày 14/7/2022, số 62/NQ-HĐND ngày 18/10/2022, số 20/NQ-HĐND ngày 28/3/2023</w:t>
      </w:r>
      <w:r w:rsidR="00DB0EF9" w:rsidRPr="00BD169D">
        <w:rPr>
          <w:rFonts w:ascii="Times New Roman" w:eastAsia="Times New Roman" w:hAnsi="Times New Roman" w:cs="Times New Roman"/>
          <w:sz w:val="28"/>
          <w:szCs w:val="28"/>
        </w:rPr>
        <w:t xml:space="preserve">; </w:t>
      </w:r>
    </w:p>
    <w:p w14:paraId="66E9F9F4" w14:textId="4FFA0FF7" w:rsidR="00C17B83" w:rsidRPr="00BD169D" w:rsidRDefault="0079682C" w:rsidP="00BD169D">
      <w:pPr>
        <w:tabs>
          <w:tab w:val="left" w:pos="851"/>
        </w:tabs>
        <w:spacing w:before="80" w:after="80" w:line="340" w:lineRule="exact"/>
        <w:ind w:firstLine="720"/>
        <w:jc w:val="both"/>
        <w:rPr>
          <w:rFonts w:ascii="Times New Roman" w:eastAsia="Arial" w:hAnsi="Times New Roman" w:cs="Times New Roman"/>
          <w:sz w:val="28"/>
          <w:szCs w:val="28"/>
          <w:lang w:val="en-US"/>
        </w:rPr>
      </w:pPr>
      <w:r w:rsidRPr="0079682C">
        <w:rPr>
          <w:rFonts w:ascii="Times New Roman" w:eastAsia="Times New Roman" w:hAnsi="Times New Roman" w:cs="Times New Roman"/>
          <w:sz w:val="28"/>
          <w:szCs w:val="28"/>
        </w:rPr>
        <w:t>Nhằm đáp ứng yêu cầu tình hình thực tiễn của địa phương trong công tác quản lý, điều hành và tổ chức thực hiện nhiệm vụ đầu tư phát triển</w:t>
      </w:r>
      <w:r w:rsidR="00DB0EF9" w:rsidRPr="00BD169D">
        <w:rPr>
          <w:rFonts w:ascii="Times New Roman" w:eastAsia="Times New Roman" w:hAnsi="Times New Roman" w:cs="Times New Roman"/>
          <w:sz w:val="28"/>
          <w:szCs w:val="28"/>
        </w:rPr>
        <w:t>,</w:t>
      </w:r>
      <w:r w:rsidR="00DB0EF9" w:rsidRPr="00BD169D">
        <w:rPr>
          <w:rFonts w:ascii="Times New Roman" w:hAnsi="Times New Roman" w:cs="Times New Roman"/>
          <w:sz w:val="28"/>
          <w:szCs w:val="28"/>
        </w:rPr>
        <w:t xml:space="preserve"> </w:t>
      </w:r>
      <w:r w:rsidR="003B15DD" w:rsidRPr="00BD169D">
        <w:rPr>
          <w:rFonts w:ascii="Times New Roman" w:hAnsi="Times New Roman" w:cs="Times New Roman"/>
          <w:sz w:val="28"/>
          <w:szCs w:val="28"/>
        </w:rPr>
        <w:t xml:space="preserve">Ủy ban nhân dân tỉnh </w:t>
      </w:r>
      <w:r w:rsidR="001E407F" w:rsidRPr="00BD169D">
        <w:rPr>
          <w:rFonts w:ascii="Times New Roman" w:hAnsi="Times New Roman" w:cs="Times New Roman"/>
          <w:sz w:val="28"/>
          <w:szCs w:val="28"/>
          <w:lang w:val="en-US"/>
        </w:rPr>
        <w:t xml:space="preserve">kính </w:t>
      </w:r>
      <w:r w:rsidR="003B15DD" w:rsidRPr="00BD169D">
        <w:rPr>
          <w:rFonts w:ascii="Times New Roman" w:hAnsi="Times New Roman" w:cs="Times New Roman"/>
          <w:sz w:val="28"/>
          <w:szCs w:val="28"/>
        </w:rPr>
        <w:t xml:space="preserve">trình </w:t>
      </w:r>
      <w:r w:rsidR="003258D5" w:rsidRPr="00BD169D">
        <w:rPr>
          <w:rFonts w:ascii="Times New Roman" w:hAnsi="Times New Roman" w:cs="Times New Roman"/>
          <w:sz w:val="28"/>
          <w:szCs w:val="28"/>
          <w:lang w:val="en-US"/>
        </w:rPr>
        <w:t xml:space="preserve">kỳ họp thứ </w:t>
      </w:r>
      <w:r w:rsidR="00816C02">
        <w:rPr>
          <w:rFonts w:ascii="Times New Roman" w:hAnsi="Times New Roman" w:cs="Times New Roman"/>
          <w:sz w:val="28"/>
          <w:szCs w:val="28"/>
          <w:lang w:val="en-US"/>
        </w:rPr>
        <w:t>20</w:t>
      </w:r>
      <w:r w:rsidR="00364888" w:rsidRPr="00BD169D">
        <w:rPr>
          <w:rFonts w:ascii="Times New Roman" w:hAnsi="Times New Roman" w:cs="Times New Roman"/>
          <w:sz w:val="28"/>
          <w:szCs w:val="28"/>
          <w:lang w:val="en-US"/>
        </w:rPr>
        <w:t xml:space="preserve"> </w:t>
      </w:r>
      <w:r w:rsidR="003B15DD" w:rsidRPr="00BD169D">
        <w:rPr>
          <w:rFonts w:ascii="Times New Roman" w:hAnsi="Times New Roman" w:cs="Times New Roman"/>
          <w:sz w:val="28"/>
          <w:szCs w:val="28"/>
        </w:rPr>
        <w:t xml:space="preserve">Hội đồng nhân dân tỉnh </w:t>
      </w:r>
      <w:r w:rsidR="003258D5" w:rsidRPr="00BD169D">
        <w:rPr>
          <w:rFonts w:ascii="Times New Roman" w:hAnsi="Times New Roman" w:cs="Times New Roman"/>
          <w:sz w:val="28"/>
          <w:szCs w:val="28"/>
          <w:lang w:val="en-US"/>
        </w:rPr>
        <w:t xml:space="preserve">khóa VIII </w:t>
      </w:r>
      <w:r w:rsidRPr="0079682C">
        <w:rPr>
          <w:rFonts w:ascii="Times New Roman" w:hAnsi="Times New Roman" w:cs="Times New Roman"/>
          <w:sz w:val="28"/>
          <w:szCs w:val="28"/>
        </w:rPr>
        <w:t>điều chỉnh kế hoạch đầu tư công trung hạn giai đoạn 2021-2025 nguồn vốn cân đối ngân sách địa phương</w:t>
      </w:r>
      <w:r w:rsidR="00512524">
        <w:rPr>
          <w:rFonts w:ascii="Times New Roman" w:hAnsi="Times New Roman" w:cs="Times New Roman"/>
          <w:sz w:val="28"/>
          <w:szCs w:val="28"/>
          <w:lang w:val="en-US"/>
        </w:rPr>
        <w:t xml:space="preserve">, cụ thể </w:t>
      </w:r>
      <w:r w:rsidR="003B15DD" w:rsidRPr="00BD169D">
        <w:rPr>
          <w:rFonts w:ascii="Times New Roman" w:eastAsia="Arial" w:hAnsi="Times New Roman" w:cs="Times New Roman"/>
          <w:sz w:val="28"/>
          <w:szCs w:val="28"/>
        </w:rPr>
        <w:t>như sau:</w:t>
      </w:r>
    </w:p>
    <w:p w14:paraId="6AEDC845" w14:textId="77777777" w:rsidR="00F052C9" w:rsidRPr="00F052C9" w:rsidRDefault="00F052C9" w:rsidP="00F052C9">
      <w:pPr>
        <w:spacing w:before="60" w:after="60"/>
        <w:ind w:firstLine="720"/>
        <w:jc w:val="both"/>
        <w:outlineLvl w:val="0"/>
        <w:rPr>
          <w:rFonts w:ascii="Times New Roman" w:hAnsi="Times New Roman" w:cs="Times New Roman"/>
          <w:b/>
          <w:bCs/>
          <w:sz w:val="28"/>
          <w:szCs w:val="28"/>
        </w:rPr>
      </w:pPr>
      <w:r w:rsidRPr="00F052C9">
        <w:rPr>
          <w:rFonts w:ascii="Times New Roman" w:hAnsi="Times New Roman" w:cs="Times New Roman"/>
          <w:b/>
          <w:bCs/>
          <w:sz w:val="28"/>
          <w:szCs w:val="28"/>
        </w:rPr>
        <w:t>I. Nguồn vốn đầu tư trong cân đối phân cấp do tỉnh quản lý</w:t>
      </w:r>
    </w:p>
    <w:p w14:paraId="3F28E2CC" w14:textId="77777777" w:rsidR="00F052C9" w:rsidRPr="00F052C9" w:rsidRDefault="00F052C9" w:rsidP="00F052C9">
      <w:pPr>
        <w:spacing w:before="60" w:after="60"/>
        <w:ind w:firstLine="720"/>
        <w:jc w:val="both"/>
        <w:outlineLvl w:val="0"/>
        <w:rPr>
          <w:rFonts w:ascii="Times New Roman" w:hAnsi="Times New Roman" w:cs="Times New Roman"/>
          <w:b/>
          <w:bCs/>
          <w:sz w:val="28"/>
          <w:szCs w:val="28"/>
        </w:rPr>
      </w:pPr>
      <w:r w:rsidRPr="00F052C9">
        <w:rPr>
          <w:rFonts w:ascii="Times New Roman" w:hAnsi="Times New Roman" w:cs="Times New Roman"/>
          <w:b/>
          <w:bCs/>
          <w:sz w:val="28"/>
          <w:szCs w:val="28"/>
        </w:rPr>
        <w:t>1. Dự án điều chỉnh giảm vốn</w:t>
      </w:r>
    </w:p>
    <w:p w14:paraId="1E917CF6"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 Dự án Phục hồi và quản lý bền vững rừng phòng hộ tỉnh Quảng Trị (JICA): kế hoạch trung hạn 2021-2025 đã giao 4,823 tỷ đồng. Lũy kế vốn hàng năm bố trí trong kế hoạch trung hạn 2021-2025 cho dự án đến nay là 1,227 tỷ đồng và đã kết thúc thực hiện các hoạt động theo Quyết định phê duyệt của cấp có thẩm quyền, đang hoàn tất các thủ tục quyết toán dự án, hết nhiệm vụ chi đối với khoản 3,596 tỷ đồng so với kế hoạch trung hạn đã giao. </w:t>
      </w:r>
    </w:p>
    <w:p w14:paraId="4E739C78"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Hiện đại hóa ngành Lâm nghiệp và tăng cường tính chống chịu vùng ven biển: Kế hoạch trung hạn 2021-2025 đã giao 64,684 tỷ đồng. Hiện nay, dự án đang báo cáo các Bộ, ngành Trung ương trình Thủ tướng Chính phủ điều chỉnh chủ trương đầu tư dự án, theo đó nhu cầu vốn đối ứng cần thiết để hoàn thành dự án là 50,16 tỷ đồng, phần vốn đề xuất điều chỉnh giảm là 14,524 tỷ đồng.</w:t>
      </w:r>
    </w:p>
    <w:p w14:paraId="44467CCA"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Cấp nước xã Vĩnh Long, Vĩnh Hà, huyện Vĩnh Linh: Kế hoạch trung hạn 2021-2025 đã giao 01 tỷ đồng. Hiệp định vay của dự án đã được Bộ Tài chính thống nhất báo cáo Chính phủ không gia hạn nên phần vốn đối ứng đã bố trí cho dự án không có nhu cầu sử dụng .</w:t>
      </w:r>
    </w:p>
    <w:p w14:paraId="5F2E1903"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 Dự án Xây dựng cầu dân sinh và quản lý  tài sản địa phương: Kế hoạch trung hạn 2021-2025 đã giao 3,96 tỷ đồng. Lũy kế vốn hằng năm bố trí trong kế </w:t>
      </w:r>
      <w:r w:rsidRPr="00F052C9">
        <w:rPr>
          <w:rFonts w:ascii="Times New Roman" w:hAnsi="Times New Roman" w:cs="Times New Roman"/>
          <w:sz w:val="28"/>
          <w:szCs w:val="28"/>
        </w:rPr>
        <w:lastRenderedPageBreak/>
        <w:t>hoạch trung hạn 2021-2025 cho dự án đến nay là 2,989 tỷ đồng. Theo quyết định đầu tư được cấp có thẩm quyền phê duyệt, thời gian thực hiện của dự án kết thúc vào ngày 30/6/2023 nên điều chỉnh giảm kế hoạch 2021-2025 là 0,971 tỷ đồng.</w:t>
      </w:r>
    </w:p>
    <w:p w14:paraId="06827ACF"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Hội trường Sở Giáo dục và Đào tạo: Kế hoạch trung hạn 2021-2025 đã giao 1,305 tỷ đồng. Lũy kế vốn hàng năm bố trí trong kế hoạch trung hạn 2021-2025 đến nay là 1,253 tỷ đồng. Dự án đã hoàn thành, quyết toán dự án, không có nhu cầu sử dụng 0,052 tỷ đồng.</w:t>
      </w:r>
    </w:p>
    <w:p w14:paraId="56AE0E32"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Nhà hiệu bộ Trường Cao đẳng Y tế: Kế hoạch trung hạn 2021-2025 đã giao 01 tỷ đồng. Lũy kế vốn hàng năm bố trí trong kế hoạch trung hạn 2021-2025 đến nay là 787 triệu đồng. Dự án đã hoàn thành, quyết toán dự án, không có nhu cầu sử dụng 0,213 tỷ đồng.</w:t>
      </w:r>
    </w:p>
    <w:p w14:paraId="6E637A70"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Nhà hiệu bộ và các hạng mục phụ trợ Trường THPT Nguyễn Hữu Thận: Kế hoạch trung hạn 2021-2025 đã giao 0,835 tỷ đồng. Lũy kế vốn hàng năm bố trí trong kế hoạch trung hạn 2021-2025 đến nay là 0,654 tỷ đồng. Dự án đã hoàn thành, quyết toán dự án, không có nhu cầu sử dụng 0,181 tỷ đồng</w:t>
      </w:r>
    </w:p>
    <w:p w14:paraId="795D1890"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Trường THCS&amp;THPT Cồn Tiên, huyện Gio Linh: Kế hoạch trung hạn 2021-2025 đã giao 14,9 tỷ đồng. Lũy kế vốn hàng năm bố trí trong kế hoạch trung hạn 2021-2025 đến nay là 14.367 triệu đồng. Dự án dự kiến hoàn thành và đưa vào sử dụng trong năm 2023, không có nhu cầu sử dụng 0,533 tỷ đồng.</w:t>
      </w:r>
    </w:p>
    <w:p w14:paraId="03845283"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Trường THCS&amp;THPT Bến Quan, huyện Vĩnh Linh, Hạng mục: Nhà học thực hành: Kế hoạch trung hạn 2021-2025 đã giao 14,9 tỷ đồng. Lũy kế vốn hàng năm bố trí trong kế hoạch trung hạn 2021-2025 đến nay là 13,68 tỷ đồng và đã hoàn thành dự án, đang hoàn thiện thủ tục bàn giao và quyết toán dự án, không có nhu cầu sử dụng 1,22 tỷ đồng.</w:t>
      </w:r>
    </w:p>
    <w:p w14:paraId="065E2B5C"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Tuyến đường kết nối cảng hàng không Quảng Trị với Quốc lộ 1: được HĐND tỉnh phê duyệt chủ trương đầu tư tại Nghị quyết số 156/NQ-HĐND ngày 9/12/2021 có tổng mức đầu tư 89,689 tỷ đồng từ nguồn ngân sách tỉnh. Nay điều chỉnh cơ cấu nguồn vốn đầu tư là 40,649 tỷ đồng từ nguồn vốn cân đối ngân sách địa phương sang ngân sách trung ương để dành nguồn vốn ngân sách địa phương trong kế hoạch trung hạn đã giao các nhiệm vụ cấp bách của tỉnh.</w:t>
      </w:r>
    </w:p>
    <w:p w14:paraId="65B20BA3" w14:textId="7A75D396"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 Tại Nghị quyết số 41/NQ-HĐND ngày 14/7/2022 của Hội đồng nhân dân tỉnh, đối với khoản vốn “HĐND tỉnh giao khi đủ điều kiện” là 74,970 tỷ đồng chưa được giao chi tiết danh mục dự án. Dự kiến điều chỉnh giảm toàn bộ số vốn này trong kế hoạch trung hạn để bố trí cho các dự án cấp bách, cần thiết khác. </w:t>
      </w:r>
    </w:p>
    <w:p w14:paraId="7A755449" w14:textId="1E7F486F"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 Đối ứng các dự án ODA giai đoạn 2021-2025: tại biểu số 03 Nghị quyết số 137/NQ-HĐND ngày 30/8/2021 của Hội đồng nhân dân tỉnh giao 150 tỷ đồng nhưng chưa giao chi tiết danh mục dự án, nay điều chỉnh giảm 133,799 tỷ đồng. </w:t>
      </w:r>
    </w:p>
    <w:p w14:paraId="022F8031"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phòng ngân sách địa phương: Kế hoạch trung hạn chưa giao chi tiết tại Nghị quyết số 20/NQ-HĐND ngày 28/3/2023 của Hội đồng nhân dân tỉnh là 118,776 tỷ đồng, nay điều chỉnh giảm 52,596 tỷ đồng để thực hiện các nhiệm vụ, dự án quan trọng phát sinh của tỉnh.</w:t>
      </w:r>
    </w:p>
    <w:p w14:paraId="73557B17" w14:textId="77777777" w:rsidR="00F052C9" w:rsidRPr="00F052C9" w:rsidRDefault="00F052C9" w:rsidP="00F052C9">
      <w:pPr>
        <w:spacing w:before="60" w:after="60"/>
        <w:ind w:firstLine="720"/>
        <w:jc w:val="both"/>
        <w:outlineLvl w:val="0"/>
        <w:rPr>
          <w:rFonts w:ascii="Times New Roman" w:hAnsi="Times New Roman" w:cs="Times New Roman"/>
          <w:b/>
          <w:bCs/>
          <w:sz w:val="28"/>
          <w:szCs w:val="28"/>
        </w:rPr>
      </w:pPr>
      <w:r w:rsidRPr="00F052C9">
        <w:rPr>
          <w:rFonts w:ascii="Times New Roman" w:hAnsi="Times New Roman" w:cs="Times New Roman"/>
          <w:b/>
          <w:bCs/>
          <w:sz w:val="28"/>
          <w:szCs w:val="28"/>
        </w:rPr>
        <w:lastRenderedPageBreak/>
        <w:t>2. Dự án điều chỉnh tăng vốn</w:t>
      </w:r>
    </w:p>
    <w:p w14:paraId="31601067"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Phát triển đô thị ven biển miền Trung hướng tới tăng trưởng xanh và ứng phó biến đổi khí hậu thành phố Đông Hà: đã được HĐND tỉnh phê duyệt chủ trương đầu tư tại Nghị quyết số 40/NQ-HĐND ngày 19/5/2023, thời gian thực hiện 2024-2027. Vốn đối ứng ngân sách tỉnh quản lý cần bố trí trong kế hoạch đầu tư công trung hạn 2021-2025 theo tiến độ thực hiện dự án là 64,21 tỷ đồng, trong đó nguồn vốn ngân sách địa phương cân đối theo tiêu chí là 22,21 tỷ đồng .</w:t>
      </w:r>
    </w:p>
    <w:p w14:paraId="4D621150"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Xây dựng Trung tâm Bảo trợ xã hội và phục hồi chức năng dành cho người khuyết tật tỉnh: được HĐND tỉnh phê duyệt chủ trương đầu tư tại Nghị quyết số 16/NQ-HĐND ngày 28/3/2023, thời gian thực hiện 2022-2025. Tổng vốn đối ứng ngân sách địa phương cần bố trí trong kế hoạch đầu tư công trung hạn 2021-2025 theo tiến độ thực hiện dự án là 15,51 tỷ đồng .</w:t>
      </w:r>
    </w:p>
    <w:p w14:paraId="463F185B"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hạ tầng cơ bản cho phát triển toàn diện tỉnh Quảng Trị: đã được HĐND tỉnh đã phê duyệt điều chỉnh chủ trương đầu tư dự án tại Nghị quyết số 63/NQ-HĐND ngày 19/7/2023 sô vốn đối ứng bổ sung từ nguồn ngân sách địa phương cân đối theo tiêu chí là 46,17 tỷ đồng.</w:t>
      </w:r>
    </w:p>
    <w:p w14:paraId="7D964348"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Đầu tư, tôn tạo di tích lịch sử lưu niệm danh nhân - Mộ Tiến sĩ Bùi Dục Tài: Dự án có tổng mức đầu tư dự kiến 09 tỷ đồng, trong đó: vốn ngân sách là 08 tỷ đồng (vốn sự nghiệp 3,5 tỷ đồng và vốn đầu tư công 4,5 tỷ đồng); nguồn xã hội hóa 01 tỷ đồng. Dự án đã được HĐND tỉnh phê duyệt chủ trương đầu tư tại Nghị quyết số 60/NQ-HĐND ngày 19/7/2023.</w:t>
      </w:r>
    </w:p>
    <w:p w14:paraId="08A01466"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Cầu sông Hiếu và đường hai đầu cầu: đã được Ủy ban nhân dân tỉnh phê duyệt  với tổng mức đầu tư là 588,796 tỷ đồng, thời gian thực hiện 2010 - 2021. Dự án được HĐND tỉnh đã cho phép kéo dài thời gian thực hiện và giải ngân sang năm 2023 tại Nghị quyết số 67/NQ-HĐND ngày 19/7/2023. Đến nay, dự án đã được bố trí vốn là 573,22 tỷ đồng  và hoàn thành đưa vào khai thác 4,68km/5,94km . Theo báo cáo của chủ đầu tư, nhu cầu vốn cần bổ sung để hoàn thành dự án là 17,164 tỷ đồng , trong đó năm 2023 là 10,69 tỷ đồng để thực hiện các công việc: thi công hoàn thiện đoạn từ đường Hàm Nghi đến đường Mai Hắc Đế và từ cổng Trường cao đẳng sư phạm đến QL9 (dài 1,26km); thanh toán các khối lượng điều chỉnh, bổ sung đã thực hiện hoàn thành trong năm 2022 . Do đó, đề nghị bổ sung kế hoạch trung hạn 2021-2025 đối với số vốn đủ điều kiện là 10,69 tỷ đồng. Số vốn còn lại 6,474 tỷ đồng để thực hiện đường vuốt nối từ cầu Sông Hiếu đến đường Hoàng Diệu và đền bù nứt nhà dân sẽ trình bổ sung trung hạn khi đảm bảo cơ sở bố trí vốn và khả năng cân đối của ngân sách địa phương.</w:t>
      </w:r>
    </w:p>
    <w:p w14:paraId="003B4E9F"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 Dự án Trang thiết bị dạy học Trường THPT Chuyên Lê Quý Đôn: đã được HĐND tỉnh phê duyệt chủ trương đầu tư tại Nghị quyết số 114/NQ-HĐND ngày 30/8/2021 với tổng mức đầu tư 04 tỷ đồng, thời gian thực hiện 2022-2024. Lũy kế vốn hàng năm bố trí trong kế hoạch trung hạn 2021-2025 đến nay là 3,657 tỷ đồng. Dự án đã triển khai cơ bản hoàn thành, các thiết bị đã được mua sắm và lắp đặt, tuy nhiên qua rà soát tổng thể dự án và nhu cầu của nhà trường, </w:t>
      </w:r>
      <w:r w:rsidRPr="00F052C9">
        <w:rPr>
          <w:rFonts w:ascii="Times New Roman" w:hAnsi="Times New Roman" w:cs="Times New Roman"/>
          <w:sz w:val="28"/>
          <w:szCs w:val="28"/>
        </w:rPr>
        <w:lastRenderedPageBreak/>
        <w:t>cần thiết đầu tư bổ sung một số trang thiết bị nhằm phát huy hiệu quả dự án và phục vụ tốt hơn nữa công tác giảng dạy, bồi dưỡng đội tuyển và đảm bảo điều kiện tổ chức các hoạt động của nhà trường và toàn ngành với nhu cầu bổ sung là 2,199 tỷ đồng</w:t>
      </w:r>
    </w:p>
    <w:p w14:paraId="7E43DAC3"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Đối ứng Chương trình mục tiêu quốc gia phát triển kinh tế - xã hội vùng đồng bào dân tộc thiểu số và miền núi: thực hiện Quyết định 04/2023/QĐ-TTg ngày 23/02/2023 của Thủ tướng Chính phủ về mức hỗ trợ thuộc dự án 1 và Tiểu dự án 1, Dự án 4 của Chương trình; số lượng nhu cầu hỗ trợ nhà ở là 642 hộ và đất ở là 1643 hộ. Căn cứ Nghị quyết số 22/2022/NQ-HĐND ngày 31/5/2022 của HĐND tỉnh, ngân sách địa phương cần bố trí để đối ứng là 5,784 tỷ đồng.</w:t>
      </w:r>
    </w:p>
    <w:p w14:paraId="0C2C631B"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Hỗ trợ 09 xã vùng đồng bào dân tộc thiểu số, miền núi đăng ký đạt chuẩn NTM giai đoạn 2021-2025: bổ sung 36 tỷ đồng cho khoản cắt giảm từ nguồn đấu giá đấu thầu các khu đất giao cho nhà đầu tư sử dụng do dự kiến nguồn thu không đạt theo kế hoạch được Hội đồng nhân dân tỉnh giao.</w:t>
      </w:r>
    </w:p>
    <w:p w14:paraId="1DE2B2D7"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Hệ thống cấp nước tập trung vùng nông thôn: bổ sung 32,761 tỷ đồng được cắt giảm từ nguồn đấu giá đất ở tại thành phố Đông Hà do dự kiến nguồn thu không đạt theo kế hoạch được Hội đồng nhân dân tỉnh giao.</w:t>
      </w:r>
    </w:p>
    <w:p w14:paraId="1CF3A625"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Hỗ trợ các địa phương theo các Thông báo kết luận của Tỉnh ủy: Thực hiện các Thông báo kết luận của Ban Thường trực Tỉnh ủy khi làm việc với các địa phương; UBND tỉnh đã chỉ đạo các Sở, ban ngành  tham mưu thực hiện các văn bản của Ban Cán sự Đảng UBND tỉnh triển khai các Thông báo kết luận của Tỉnh ủy để thực hiện các mục tiêu, nhiệm vụ quan trọng, cần thiết, cấp bách của các địa phương, bổ sung kế hoạch đầu tư công trung hạn giai đoạn 2021-2025 nguồn vốn cân đối ngân sách địa phương với số vốn 130 tỷ đồng.</w:t>
      </w:r>
    </w:p>
    <w:p w14:paraId="1C7869B3"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bookmarkStart w:id="0" w:name="_Hlk145358022"/>
      <w:r w:rsidRPr="00F052C9">
        <w:rPr>
          <w:rFonts w:ascii="Times New Roman" w:hAnsi="Times New Roman" w:cs="Times New Roman"/>
          <w:b/>
          <w:bCs/>
          <w:i/>
          <w:iCs/>
          <w:sz w:val="28"/>
          <w:szCs w:val="28"/>
        </w:rPr>
        <w:t>Do đó</w:t>
      </w:r>
      <w:r w:rsidRPr="00F052C9">
        <w:rPr>
          <w:rFonts w:ascii="Times New Roman" w:hAnsi="Times New Roman" w:cs="Times New Roman"/>
          <w:sz w:val="28"/>
          <w:szCs w:val="28"/>
        </w:rPr>
        <w:t>, dự kiến giảm 305,824 tỷ đồng kế hoạch trung hạn vốn đối ứng của 04 dự án ODA không có nhu cầu sử dụng (20,091 tỷ đồng), 05 dự án giáo dục đào đạo đã hoàn thành (2,199 tỷ đồng), 01 dự án điều chỉnh cơ cấu nguồn vốn  (40,649 tỷ đồng), khoản vốn HĐND tỉnh giao khi đủ điều kiện  (74,97 tỷ đồng), khoản đối ứng các dự án ODA chưa giao chi tiết (133,799 tỷ đồng), dự phòng ngân sách địa phương (34,116 tỷ đồng) để bổ sung đối ứng 03 dự án ODA (83,89 tỷ đồng) và 01 dự án mới đã được HĐND tỉnh phê duyệt chủ trương đầu tư (4,5 tỷ đồng), 01 dự án bổ sung vốn để thực hiện hoàn thành (10,69 tỷ đồng); 01 dự án giáo dục đào tạo tăng tổng mức đầu tư (2,199 tỷ đồng), đối ứng chương trình MTQG phát triển kinh tế - xã hội vùng đồng bào dân tộc thiểu số và miền núi (5,784 tỷ đồng); hỗ trợ 09 xã vùng đồng bào dân tộc thiểu số, miền núi đăng ký đạt chuẩn NTM và dự án Hệ thống cấp nước tập trung vùng nông thôn do nguồn vốn đấu giá đất cấp tỉnh quản lý không đạt (68,761 tỷ đồng); hỗ trợ các địa phương theo các Thông báo kết luận của Tỉnh ủy (130 tỷ đồng)</w:t>
      </w:r>
      <w:bookmarkEnd w:id="0"/>
      <w:r w:rsidRPr="00F052C9">
        <w:rPr>
          <w:rFonts w:ascii="Times New Roman" w:hAnsi="Times New Roman" w:cs="Times New Roman"/>
          <w:sz w:val="28"/>
          <w:szCs w:val="28"/>
        </w:rPr>
        <w:t>.</w:t>
      </w:r>
    </w:p>
    <w:p w14:paraId="527BCC52" w14:textId="77777777" w:rsidR="00F052C9" w:rsidRPr="00F052C9" w:rsidRDefault="00F052C9" w:rsidP="006741DF">
      <w:pPr>
        <w:spacing w:before="60" w:after="60"/>
        <w:ind w:firstLine="720"/>
        <w:outlineLvl w:val="0"/>
        <w:rPr>
          <w:rFonts w:ascii="Times New Roman" w:hAnsi="Times New Roman" w:cs="Times New Roman"/>
          <w:i/>
          <w:iCs/>
          <w:sz w:val="28"/>
          <w:szCs w:val="28"/>
        </w:rPr>
      </w:pPr>
      <w:r w:rsidRPr="00F052C9">
        <w:rPr>
          <w:rFonts w:ascii="Times New Roman" w:hAnsi="Times New Roman" w:cs="Times New Roman"/>
          <w:i/>
          <w:iCs/>
          <w:sz w:val="28"/>
          <w:szCs w:val="28"/>
        </w:rPr>
        <w:t>(Chi tiết như biểu số 01 kèm theo)</w:t>
      </w:r>
    </w:p>
    <w:p w14:paraId="725A4CE3" w14:textId="77777777" w:rsidR="00F052C9" w:rsidRPr="00F052C9" w:rsidRDefault="00F052C9" w:rsidP="00F052C9">
      <w:pPr>
        <w:spacing w:before="60" w:after="60"/>
        <w:ind w:firstLine="720"/>
        <w:jc w:val="both"/>
        <w:outlineLvl w:val="0"/>
        <w:rPr>
          <w:rFonts w:ascii="Times New Roman" w:hAnsi="Times New Roman" w:cs="Times New Roman"/>
          <w:b/>
          <w:bCs/>
          <w:sz w:val="28"/>
          <w:szCs w:val="28"/>
        </w:rPr>
      </w:pPr>
      <w:r w:rsidRPr="00F052C9">
        <w:rPr>
          <w:rFonts w:ascii="Times New Roman" w:hAnsi="Times New Roman" w:cs="Times New Roman"/>
          <w:b/>
          <w:bCs/>
          <w:sz w:val="28"/>
          <w:szCs w:val="28"/>
        </w:rPr>
        <w:t>II. Nguồn vốn đấu giá đất do tỉnh quản lý</w:t>
      </w:r>
    </w:p>
    <w:p w14:paraId="0D449E46" w14:textId="77777777" w:rsidR="00F052C9" w:rsidRPr="00F052C9" w:rsidRDefault="00F052C9" w:rsidP="00F052C9">
      <w:pPr>
        <w:spacing w:before="60" w:after="60"/>
        <w:ind w:firstLine="720"/>
        <w:jc w:val="both"/>
        <w:outlineLvl w:val="0"/>
        <w:rPr>
          <w:rFonts w:ascii="Times New Roman" w:hAnsi="Times New Roman" w:cs="Times New Roman"/>
          <w:b/>
          <w:bCs/>
          <w:sz w:val="28"/>
          <w:szCs w:val="28"/>
        </w:rPr>
      </w:pPr>
      <w:r w:rsidRPr="00F052C9">
        <w:rPr>
          <w:rFonts w:ascii="Times New Roman" w:hAnsi="Times New Roman" w:cs="Times New Roman"/>
          <w:b/>
          <w:bCs/>
          <w:sz w:val="28"/>
          <w:szCs w:val="28"/>
        </w:rPr>
        <w:t>1. Nguồn vốn đấu giá quyền sử dụng đất ở tại thành phố Đông Hà</w:t>
      </w:r>
    </w:p>
    <w:p w14:paraId="1C789602" w14:textId="77777777" w:rsidR="00F052C9" w:rsidRPr="00F052C9" w:rsidRDefault="00F052C9" w:rsidP="00F052C9">
      <w:pPr>
        <w:spacing w:before="60" w:after="60"/>
        <w:ind w:firstLine="720"/>
        <w:jc w:val="both"/>
        <w:outlineLvl w:val="0"/>
        <w:rPr>
          <w:rFonts w:ascii="Times New Roman" w:hAnsi="Times New Roman" w:cs="Times New Roman"/>
          <w:b/>
          <w:bCs/>
          <w:i/>
          <w:iCs/>
          <w:sz w:val="28"/>
          <w:szCs w:val="28"/>
        </w:rPr>
      </w:pPr>
      <w:r w:rsidRPr="00F052C9">
        <w:rPr>
          <w:rFonts w:ascii="Times New Roman" w:hAnsi="Times New Roman" w:cs="Times New Roman"/>
          <w:b/>
          <w:bCs/>
          <w:i/>
          <w:iCs/>
          <w:sz w:val="28"/>
          <w:szCs w:val="28"/>
        </w:rPr>
        <w:t>1.1. Điều chỉnh giảm tổng nguồn kế hoạch trung hạn đã được HĐND tỉnh giao:</w:t>
      </w:r>
    </w:p>
    <w:p w14:paraId="591F9581"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lastRenderedPageBreak/>
        <w:t>Kế hoạch đầu tư công trung hạn giai đoạn 2021-2025 được HĐND tỉnh giao là 2.250 tỷ đồng. Dự kiến kế hoạch 03 năm 2021-2023 thực hiện là 888,26 tỷ đồng  và kế hoach 2024-2025 thực hiện khoảng 750 tỷ đồng . Theo đó, dự kiến kế hoạch giai đoạn 2021-2025 thực hiện khoảng 1.638,26 tỷ đồng, bằng 73% kế hoạch HĐND tỉnh giao; hụt thu khoảng 611,74 tỷ đồng.</w:t>
      </w:r>
    </w:p>
    <w:p w14:paraId="2BB75A58"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Căn cứ kế hoach trung hạn được HĐND tỉnh giao, dự kiến điều chỉnh giảm kế hoạch trung hạn 2021-2025 là 200 tỷ đồng, phần còn thiếu 411,74 tỷ đồng đề xuất ứng từ Quỹ phát triển đất tỉnh để triển khai thực hiện và sẽ được hoàn trả trong giai đoạn 2026-2030. </w:t>
      </w:r>
    </w:p>
    <w:p w14:paraId="3411ABB3"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Phương án điều chỉnh giảm tổng nguồn trung hạn cụ thể như sau: </w:t>
      </w:r>
    </w:p>
    <w:p w14:paraId="24F4C1AE"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 Đo đạc địa chính và Quỹ phát triển đất: điều chỉnh giảm 30 tỷ đồng, tương đương 15%; </w:t>
      </w:r>
    </w:p>
    <w:p w14:paraId="5CB6E6E8"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Bố trí các công trình phát triển quỹ đất: điều chỉnh giảm 90 tỷ đồng, tương đương 47%. Kế hoạch dự kiến giảm từ dự án Khu đô thị sinh thái Nam Đông Hà.</w:t>
      </w:r>
    </w:p>
    <w:p w14:paraId="6FC5430C"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Bố trí cho các công trình phát triển KTXH khác: điều chỉnh giảm 76 tỷ đồng, tương đương 38%. Kế hoạch dự kiến giảm từ 03 dự án, nhiệm vụ; cụ thể:</w:t>
      </w:r>
    </w:p>
    <w:p w14:paraId="7DAA0B5B"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Công viên đường Hùng Vương, thành phố Đông Hà: kế hoạch trung hạn được HĐND tỉnh giao 18 tỷ đồng, lũy kế vốn bố trí đến nay là 0,761 tỷ đồng (thực hiện công tác chuẩn bị đầu tư); dự kiến giảm trung hạn 17,239 tỷ đồng và sẽ thực hiện đầu tư trong giai đoạn 2026-2030;</w:t>
      </w:r>
    </w:p>
    <w:p w14:paraId="7F82A6C1"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Hệ thống cấp nước tập trung vùng nông thôn: kế hoạch trung hạn được HĐND tỉnh giao 60 tỷ đồng, lũy kế vốn bố trí đến nay là 17,396 tỷ đồng. Dự kiến điều chuyển giảm vốn đất 32,761 tỷ đồng và bổ sung từ nguồn vốn ngân sách địa phương cân đối để thực hiện hoàn thành trong giai đoạn 2021-2025.</w:t>
      </w:r>
    </w:p>
    <w:p w14:paraId="52442E54"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Trong khoản vốn HĐND tỉnh giao khi đủ điều kiện có dự kiến bố trí thực hiện dự án Tăng cường năng lực cấp nước sinh hoạt mùa hạn cho thành phố Đông Hà nhưng chưa được giao kế hoạch trung hạn với số vốn 26 tỷ đồng. Đến nay, dự án chưa hoàn thiện thủ tục đầu tư (do chưa thống nhất được phương kỹ thuật và điều chỉnh tăng phần vốn nhà nước tại doanh nghiệp) nên dự kiến không giao trung hạn cho dự án này với số vốn 26 tỷ đồng.</w:t>
      </w:r>
    </w:p>
    <w:p w14:paraId="1CB21BDE" w14:textId="77777777" w:rsidR="00F052C9" w:rsidRPr="00F052C9" w:rsidRDefault="00F052C9" w:rsidP="00F052C9">
      <w:pPr>
        <w:spacing w:before="60" w:after="60"/>
        <w:ind w:firstLine="720"/>
        <w:jc w:val="both"/>
        <w:outlineLvl w:val="0"/>
        <w:rPr>
          <w:rFonts w:ascii="Times New Roman" w:hAnsi="Times New Roman" w:cs="Times New Roman"/>
          <w:b/>
          <w:bCs/>
          <w:i/>
          <w:iCs/>
          <w:sz w:val="28"/>
          <w:szCs w:val="28"/>
        </w:rPr>
      </w:pPr>
      <w:r w:rsidRPr="00F052C9">
        <w:rPr>
          <w:rFonts w:ascii="Times New Roman" w:hAnsi="Times New Roman" w:cs="Times New Roman"/>
          <w:b/>
          <w:bCs/>
          <w:i/>
          <w:iCs/>
          <w:sz w:val="28"/>
          <w:szCs w:val="28"/>
        </w:rPr>
        <w:t>1.2 Điều chỉnh nội bộ kế hoạch trung hạn đã được HĐND tỉnh giao:</w:t>
      </w:r>
    </w:p>
    <w:p w14:paraId="77E3D4D5" w14:textId="77777777" w:rsidR="00F052C9" w:rsidRPr="00F052C9" w:rsidRDefault="00F052C9" w:rsidP="00F052C9">
      <w:pPr>
        <w:spacing w:before="60" w:after="60"/>
        <w:ind w:firstLine="720"/>
        <w:jc w:val="both"/>
        <w:outlineLvl w:val="0"/>
        <w:rPr>
          <w:rFonts w:ascii="Times New Roman" w:hAnsi="Times New Roman" w:cs="Times New Roman"/>
          <w:i/>
          <w:iCs/>
          <w:sz w:val="28"/>
          <w:szCs w:val="28"/>
        </w:rPr>
      </w:pPr>
      <w:r w:rsidRPr="00F052C9">
        <w:rPr>
          <w:rFonts w:ascii="Times New Roman" w:hAnsi="Times New Roman" w:cs="Times New Roman"/>
          <w:i/>
          <w:iCs/>
          <w:sz w:val="28"/>
          <w:szCs w:val="28"/>
        </w:rPr>
        <w:t xml:space="preserve">* </w:t>
      </w:r>
      <w:r w:rsidRPr="00F052C9">
        <w:rPr>
          <w:rFonts w:ascii="Times New Roman" w:hAnsi="Times New Roman" w:cs="Times New Roman"/>
          <w:b/>
          <w:bCs/>
          <w:i/>
          <w:iCs/>
          <w:sz w:val="28"/>
          <w:szCs w:val="28"/>
        </w:rPr>
        <w:t>Dự án điều chỉnh giảm vốn</w:t>
      </w:r>
      <w:r w:rsidRPr="00F052C9">
        <w:rPr>
          <w:rFonts w:ascii="Times New Roman" w:hAnsi="Times New Roman" w:cs="Times New Roman"/>
          <w:i/>
          <w:iCs/>
          <w:sz w:val="28"/>
          <w:szCs w:val="28"/>
        </w:rPr>
        <w:t xml:space="preserve"> </w:t>
      </w:r>
    </w:p>
    <w:p w14:paraId="7A68F0A1"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 Dự án Vỉa hè và hệ thống thoát nước đường Trần Cao Vân: kế hoạch trung hạn 2021-2025 đã giao 10 tỷ đồng, lũy kế vốn bố trí đến nay 07 tỷ đồng. Dự án đã hoàn thành, không có nhu cầu sử dụng 03 tỷ đồng </w:t>
      </w:r>
    </w:p>
    <w:p w14:paraId="26E43711"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Vỉa hè các tuyến đường Khu đô thị Nam Đông Hà giai đoạn 1: kế hoạch trung hạn 2021-2025 đã giao 4,8 tỷ đồng, lũy kế vốn bố trí đến nay 4,542 tỷ đồng Dự án đã phê duyệt quyết toán , không có nhu cầu sử dụng 0,257 tỷ đồng.</w:t>
      </w:r>
    </w:p>
    <w:p w14:paraId="1C215448"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lastRenderedPageBreak/>
        <w:t>- Dự án Giải phóng mặt bằng tạo quỹ đất sạch phục vụ đấu giá quyền sử dụng đất để thực hiện dự án Khu đô thị thương mại - dịch vụ Nam Đông Hà: kế hoạch trung hạn 2021-2025 đã giao 12 tỷ đồng, lũy kế vốn bố trí đến nay 8,734 tỷ đồng. Dự án đã được Hội đồng thẩm tra thông qua quyết toán hoàn thành, không có nhu cầu sử dụng 3,217 tỷ đồng.</w:t>
      </w:r>
    </w:p>
    <w:p w14:paraId="45AAFE1C"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Công viên mini Phường 2, thành phố Đông Hà: kế hoạch trung hạn 2021-2025 đã giao 6,5 tỷ đồng, lũy kế vốn bố trí đến nay 5,182 tỷ đồng. Dự án đã hoàn thành, không có nhu cầu sử dụng 1,282 tỷ đồng.</w:t>
      </w:r>
    </w:p>
    <w:p w14:paraId="4BE35B9A"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Đường Trần Bình Trọng (đoạn từ Đập ngăn mặn sông Hiếu đến QL.9): được UBND tỉnh phê duyệt điều chỉnh tại Quyết định số 2940/QĐ-UBND ngày 16/11/2022 với tổng mức đầu tư 60,951 tỷ đồng, gồm: đoạn từ đập ngăn mặn sông Hiếu đã hoàn thành bàn giao (53,739 tỷ đồng) và đoạn kết nối với Trường Tiểu học Lý Tự Trọng (7,212 tỷ đồng). Tổng số vốn đã phân bổ cho dự án là 63,1 tỷ đồng. Kế hoạch trung hạn không có nhu cầu sử dụng là 2,149 tỷ đồng.</w:t>
      </w:r>
    </w:p>
    <w:p w14:paraId="6C3DFE35"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Dự án phát triển đô thị dọc hành lang tiểu vùng sông Mê Kông: sẽ đóng Hiệp định vào ngày 31/12/2023; một số đoạn tuyến bị vướng mắc giải phóng mặt bằng không thực hiện được; điều chuyển số vốn không sử dụng là 50 tỷ đồng.</w:t>
      </w:r>
    </w:p>
    <w:p w14:paraId="214E1A3D" w14:textId="77777777" w:rsidR="00F052C9" w:rsidRPr="00F052C9" w:rsidRDefault="00F052C9" w:rsidP="00F052C9">
      <w:pPr>
        <w:spacing w:before="60" w:after="60"/>
        <w:ind w:firstLine="720"/>
        <w:jc w:val="both"/>
        <w:outlineLvl w:val="0"/>
        <w:rPr>
          <w:rFonts w:ascii="Times New Roman" w:hAnsi="Times New Roman" w:cs="Times New Roman"/>
          <w:i/>
          <w:iCs/>
          <w:sz w:val="28"/>
          <w:szCs w:val="28"/>
        </w:rPr>
      </w:pPr>
      <w:r w:rsidRPr="00F052C9">
        <w:rPr>
          <w:rFonts w:ascii="Times New Roman" w:hAnsi="Times New Roman" w:cs="Times New Roman"/>
          <w:i/>
          <w:iCs/>
          <w:sz w:val="28"/>
          <w:szCs w:val="28"/>
        </w:rPr>
        <w:t xml:space="preserve">* </w:t>
      </w:r>
      <w:r w:rsidRPr="00F052C9">
        <w:rPr>
          <w:rFonts w:ascii="Times New Roman" w:hAnsi="Times New Roman" w:cs="Times New Roman"/>
          <w:b/>
          <w:bCs/>
          <w:i/>
          <w:iCs/>
          <w:sz w:val="28"/>
          <w:szCs w:val="28"/>
        </w:rPr>
        <w:t>Dự án điều chỉnh tăng vốn</w:t>
      </w:r>
      <w:r w:rsidRPr="00F052C9">
        <w:rPr>
          <w:rFonts w:ascii="Times New Roman" w:hAnsi="Times New Roman" w:cs="Times New Roman"/>
          <w:i/>
          <w:iCs/>
          <w:sz w:val="28"/>
          <w:szCs w:val="28"/>
        </w:rPr>
        <w:t xml:space="preserve"> </w:t>
      </w:r>
    </w:p>
    <w:p w14:paraId="4C5147B0"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Đường Trường Chinh nối dài (đoạn từ đường Nguyễn Du đến đường Nguyễn Chí Thanh): đã được UBND tỉnh giao UBND thành phố Đông Hà lập chủ trương đầu tư và thống nhất điều chuyển số vốn còn dư của dự án Vỉa hè và hệ thống thoát nước đường Trần Cao Vân sang để thực hiện tại Văn bản số 1346/UBND-TH ngày 31/3/2023. Dự án đã được HĐND thành phố Đông Hà phê duyệt chủ trương đầu tư tại Nghị quyết số 179/NQ-HĐND ngày 22/5/2023 với tổng mức đầu tư 9,5 tỷ đồng. Kế hoạch trung hạn 2021-2025 của tỉnh cần bố trí cho dự án là 03 tỷ đồng.</w:t>
      </w:r>
    </w:p>
    <w:p w14:paraId="6538073F"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Xây dựng cơ sở hạ tầng khu vực Bắc sông Hiếu: kế hoạch trung hạn 2021-2025 đã giao 62 tỷ đồng, lũy kế vốn bố trí đến nay 54,404 tỷ đồng, còn 7,595 tỷ đồng chưa sử dụng. Tổng nhu cầu vốn còn thiếu để hoàn thành nút giao đường Nguyễn Văn Linh (tuyến 47m) với Quốc lộ 1 và các hạng mục còn lại của dự án khoảng 14,5 tỷ đồng; theo đó kế hoạch trung hạn 2021-2025 cần bổ sung để hoàn thành dự án là 6,905 tỷ đồng.</w:t>
      </w:r>
    </w:p>
    <w:p w14:paraId="317AF3B3"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Hạ tầng cơ bản cho phát triển toàn diện tỉnh Quảng Trị: Dự án phát sinh chi phí đền bù, GPMB và đã được HĐND tỉnh phê duyệt điều chỉnh chủ trương đầu tư với số vốn bổ sung là 50 tỷ đồng.</w:t>
      </w:r>
    </w:p>
    <w:p w14:paraId="54E3DE83"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b/>
          <w:bCs/>
          <w:sz w:val="28"/>
          <w:szCs w:val="28"/>
        </w:rPr>
        <w:t>Do đó</w:t>
      </w:r>
      <w:r w:rsidRPr="00F052C9">
        <w:rPr>
          <w:rFonts w:ascii="Times New Roman" w:hAnsi="Times New Roman" w:cs="Times New Roman"/>
          <w:sz w:val="28"/>
          <w:szCs w:val="28"/>
        </w:rPr>
        <w:t>, dự kiến giảm 59,905 tỷ đồng kế hoạch trung hạn của 06 dự án không có nhu cầu sử dụng để bổ sung cho 03 dự án cần đầu tư hoàn thành trong giai đoạn 2021-2025.</w:t>
      </w:r>
    </w:p>
    <w:p w14:paraId="44DC222E" w14:textId="77777777" w:rsidR="00F052C9" w:rsidRPr="00F052C9" w:rsidRDefault="00F052C9" w:rsidP="00F052C9">
      <w:pPr>
        <w:spacing w:before="60" w:after="60"/>
        <w:ind w:firstLine="720"/>
        <w:jc w:val="both"/>
        <w:outlineLvl w:val="0"/>
        <w:rPr>
          <w:rFonts w:ascii="Times New Roman" w:hAnsi="Times New Roman" w:cs="Times New Roman"/>
          <w:b/>
          <w:bCs/>
          <w:sz w:val="28"/>
          <w:szCs w:val="28"/>
        </w:rPr>
      </w:pPr>
      <w:r w:rsidRPr="00F052C9">
        <w:rPr>
          <w:rFonts w:ascii="Times New Roman" w:hAnsi="Times New Roman" w:cs="Times New Roman"/>
          <w:b/>
          <w:bCs/>
          <w:sz w:val="28"/>
          <w:szCs w:val="28"/>
        </w:rPr>
        <w:t>2. Nguồn đấu giá, đấu thầu các khu đất giao cho nhà đầu tư sử dụng</w:t>
      </w:r>
    </w:p>
    <w:p w14:paraId="4C180957" w14:textId="77777777" w:rsidR="00F052C9" w:rsidRPr="00F052C9" w:rsidRDefault="00F052C9" w:rsidP="00F052C9">
      <w:pPr>
        <w:spacing w:before="60" w:after="60"/>
        <w:ind w:firstLine="720"/>
        <w:jc w:val="both"/>
        <w:outlineLvl w:val="0"/>
        <w:rPr>
          <w:rFonts w:ascii="Times New Roman" w:hAnsi="Times New Roman" w:cs="Times New Roman"/>
          <w:b/>
          <w:bCs/>
          <w:i/>
          <w:iCs/>
          <w:sz w:val="28"/>
          <w:szCs w:val="28"/>
        </w:rPr>
      </w:pPr>
      <w:r w:rsidRPr="00F052C9">
        <w:rPr>
          <w:rFonts w:ascii="Times New Roman" w:hAnsi="Times New Roman" w:cs="Times New Roman"/>
          <w:b/>
          <w:bCs/>
          <w:i/>
          <w:iCs/>
          <w:sz w:val="28"/>
          <w:szCs w:val="28"/>
        </w:rPr>
        <w:t>2.1. Điều chỉnh giảm tổng nguồn kế hoạch trung hạn đã được HĐND tỉnh giao:</w:t>
      </w:r>
    </w:p>
    <w:p w14:paraId="512B2526"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lastRenderedPageBreak/>
        <w:t>Kế hoạch đầu tư công trung hạn giai đoạn 2021-2025 được HĐND tỉnh giao là 1.030 tỷ đồng, kế hoạch 03 năm 2021-2023 dự kiến thực hiện là 244,664 tỷ đồng. Dự kiến kế hoạch 2021-2025 thực hiện khoảng 880 tỷ đồng, bằng 85% kế hoạch HĐND tỉnh giao; hụt thu 150 tỷ đồng.</w:t>
      </w:r>
    </w:p>
    <w:p w14:paraId="7F3CF4C6"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Căn cứ kế hoach trung hạn được HĐND tỉnh giao, dự kiến điều chỉnh giảm kế hoạch trung hạn 2021-2025 là 150 tỷ đồng; phương án cụ thể như sau: </w:t>
      </w:r>
    </w:p>
    <w:p w14:paraId="60874531"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 Đo đạc địa chính và Quỹ phát triển đất: điều chỉnh giảm 22,5 tỷ đồng, tương đương 15%; </w:t>
      </w:r>
    </w:p>
    <w:p w14:paraId="40764CFB"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Bố trí công trình phát triển quỹ đất và KTXH khác: điều chỉnh giảm 127,5 tỷ đồng, tương đương 85%. Kế hoạch dự kiến giảm, cụ thể:</w:t>
      </w:r>
    </w:p>
    <w:p w14:paraId="15740D68"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bookmarkStart w:id="1" w:name="_Hlk145358137"/>
      <w:r w:rsidRPr="00F052C9">
        <w:rPr>
          <w:rFonts w:ascii="Times New Roman" w:hAnsi="Times New Roman" w:cs="Times New Roman"/>
          <w:sz w:val="28"/>
          <w:szCs w:val="28"/>
        </w:rPr>
        <w:t>+ Dự án Nhà ở vận động viên năng khiếu tỉnh: kế hoạch trung hạn được HĐND tỉnh giao 23 tỷ đồng, lũy kế vốn bố trí đến nay là 11 tỷ đồng. Dự kiến điều chuyển giảm vốn đất 7,22 tỷ đồng và bổ sung từ nguồn vốn xổ số kiến thiết để thực hiện hoàn thành trong giai đoạn 2021-2025</w:t>
      </w:r>
    </w:p>
    <w:bookmarkEnd w:id="1"/>
    <w:p w14:paraId="2033088E"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Giải phóng mặt bằng để thực hiện dự án nâng cấp, mở rộng quốc lộ 9 đoạn từ quốc lộ 1 đến cảng Cửa Việt: kế hoạch trung hạn được HĐND tỉnh giao là 345,355 tỷ đồng. Dự kiến giảm 14,735 tỷ đồng do điều chỉnh giảm bề rộng mặt cắt ngang nền đường.</w:t>
      </w:r>
    </w:p>
    <w:p w14:paraId="60DBE4C9"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Hỗ trợ 09 xã vùng đồng bào DTTS, miền núi đăng ký đạt chuẩn NTM giai đoạn 2021-2025: dự kiến điều chỉnh giảm 36 tỷ đồng và được dự kiến bố trí thực hiện từ nguồn vốn NSĐP cân đối theo tiêu chí để hoàn thành mục tiêu đề ra.</w:t>
      </w:r>
    </w:p>
    <w:p w14:paraId="6EE4CB82"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HĐND tỉnh giao khi đủ điều kiện: kế hoạch trung hạn chưa giao chi tiết là 133,765 tỷ đồng và dự kiến điều chỉnh giảm trung hạn là 69,545 tỷ đồng.</w:t>
      </w:r>
    </w:p>
    <w:p w14:paraId="5A6027EC" w14:textId="77777777" w:rsidR="00F052C9" w:rsidRPr="00F052C9" w:rsidRDefault="00F052C9" w:rsidP="00F052C9">
      <w:pPr>
        <w:spacing w:before="60" w:after="60"/>
        <w:ind w:firstLine="720"/>
        <w:jc w:val="both"/>
        <w:outlineLvl w:val="0"/>
        <w:rPr>
          <w:rFonts w:ascii="Times New Roman" w:hAnsi="Times New Roman" w:cs="Times New Roman"/>
          <w:b/>
          <w:bCs/>
          <w:i/>
          <w:iCs/>
          <w:sz w:val="28"/>
          <w:szCs w:val="28"/>
        </w:rPr>
      </w:pPr>
      <w:r w:rsidRPr="00F052C9">
        <w:rPr>
          <w:rFonts w:ascii="Times New Roman" w:hAnsi="Times New Roman" w:cs="Times New Roman"/>
          <w:b/>
          <w:bCs/>
          <w:i/>
          <w:iCs/>
          <w:sz w:val="28"/>
          <w:szCs w:val="28"/>
        </w:rPr>
        <w:t>2.2 Điều chỉnh nội bộ kế hoạch trung hạn đã được HĐND tỉnh giao:</w:t>
      </w:r>
    </w:p>
    <w:p w14:paraId="35E85F94"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Đối với khoản vốn “HĐND tỉnh giao khi đủ điều kiện” còn lại (sau dự kiến giảm tại mục II.2.1) là 64,22 tỷ đồng, dự kiến điều chỉnh giảm 42 tỷ đồng để giao kế hoạch đầu tư công trung hạn 2021-2025 đối ứng dự án Phát triển đô thị ven biển miền Trung hướng tới tăng trưởng xanh và ứng phó biến đổi khí hậu thành phố Đông Hà để có cơ sở triển khai thực hiện các bước tiếp theo. Kế hoạch còn lại sau điều chỉnh </w:t>
      </w:r>
      <w:bookmarkStart w:id="2" w:name="_Hlk145358248"/>
      <w:r w:rsidRPr="00F052C9">
        <w:rPr>
          <w:rFonts w:ascii="Times New Roman" w:hAnsi="Times New Roman" w:cs="Times New Roman"/>
          <w:sz w:val="28"/>
          <w:szCs w:val="28"/>
        </w:rPr>
        <w:t>bao gồm 15 tỷ đồng dự kiến</w:t>
      </w:r>
      <w:bookmarkEnd w:id="2"/>
      <w:r w:rsidRPr="00F052C9">
        <w:rPr>
          <w:rFonts w:ascii="Times New Roman" w:hAnsi="Times New Roman" w:cs="Times New Roman"/>
          <w:sz w:val="28"/>
          <w:szCs w:val="28"/>
        </w:rPr>
        <w:t xml:space="preserve"> bố trí cho dự án Đường dân sinh kết nối khu phố 3 và khu phố 4, phường Đông Lễ, thành phố Đông Hà đã được HĐND tỉnh thông qua.</w:t>
      </w:r>
    </w:p>
    <w:p w14:paraId="2EA77840" w14:textId="77777777" w:rsidR="00F052C9" w:rsidRPr="00F052C9" w:rsidRDefault="00F052C9" w:rsidP="00F052C9">
      <w:pPr>
        <w:spacing w:before="60" w:after="60"/>
        <w:ind w:firstLine="720"/>
        <w:jc w:val="both"/>
        <w:rPr>
          <w:rFonts w:ascii="Times New Roman" w:hAnsi="Times New Roman" w:cs="Times New Roman"/>
          <w:iCs/>
          <w:spacing w:val="-6"/>
          <w:sz w:val="28"/>
          <w:szCs w:val="28"/>
          <w:lang w:val="nl-NL"/>
        </w:rPr>
      </w:pPr>
      <w:r w:rsidRPr="00F052C9">
        <w:rPr>
          <w:rFonts w:ascii="Times New Roman" w:hAnsi="Times New Roman" w:cs="Times New Roman"/>
          <w:b/>
          <w:bCs/>
          <w:sz w:val="28"/>
          <w:szCs w:val="28"/>
        </w:rPr>
        <w:t xml:space="preserve">3 Nguồn thu từ đấu giá quyền sử dụng đất ở tại KKT TMĐB Lao Bảo </w:t>
      </w:r>
      <w:r w:rsidRPr="00F052C9">
        <w:rPr>
          <w:rFonts w:ascii="Times New Roman" w:hAnsi="Times New Roman" w:cs="Times New Roman"/>
          <w:iCs/>
          <w:spacing w:val="-6"/>
          <w:sz w:val="28"/>
          <w:szCs w:val="28"/>
          <w:lang w:val="nl-NL"/>
        </w:rPr>
        <w:t>(Điều chỉnh nội bộ kế hoạch trung hạn đã được HĐND tỉnh giao)</w:t>
      </w:r>
    </w:p>
    <w:p w14:paraId="69BCEDAA"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Tại Nghị quyết số 20/NQ-HĐND ngày 28/3/2022 của HĐND tỉnh, đối với khoản vốn “Dự kiến bố trí sau” đã giao 62,859 tỷ đồng và quy định dự kiến bố trí các dự án: Một số hạng mục thiết yếu thuộc Khu tái định cư Lao Bảo - Tân Thành; Tuyến RD-01 và RD-04 KCN Quán Ngang; Tuyến đường kết nối phía Bắc cảng Mỹ Thủy thuộc KKT Đông Nam sau khi điều kiện; dành một phần vốn để bố trí cho công tác chuẩn bị đầu tư các dự án Cao tốc Cam Lộ - Lao Bảo; Quốc lộ 15D.</w:t>
      </w:r>
    </w:p>
    <w:p w14:paraId="0FF6785D"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lastRenderedPageBreak/>
        <w:t>Dự án Cơ sở hạ tầng khu tái định cư Lao Bảo - Tân Thành (giai đoạn 2): kế hoạch trung hạn 2021-2025 đã giao 1,6 tỷ đồng để triển khai thực hiện hoàn thiện Tuyến 1 (phạm vi nút giao QL9 và nút giao với tuyến 2). Hiện còn hạng mục cấp nước sinh hoạt và cấp điện sinh hoạt chưa triển khai với nhu cầu vốn 02 tỷ đồng.</w:t>
      </w:r>
    </w:p>
    <w:p w14:paraId="7D7446F2"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Dự án Hệ thống xử lý nước thải KCN Quán Ngang (giai đoạn 1): kế hoạch trung hạn 2021-2025 đã giao 3,9 tỷ đồng. Đến nay, dự án đã cơ bản hoàn thành, chuẩn bị lắp đặt bổ sung một số thiết bị cho hệ thống quan trắc tự động nước thải. Tuy nhiên, theo quy định tại khoản 2, điều 42 Luật Bảo vệ môi trường, thì dự án phải được cấp giấy phép môi trường trước khi vận hành thử nghiệm với nhu cầu vốn bổ sung để thực hiện nhiệm vụ này là 0,4 tỷ đồng. </w:t>
      </w:r>
    </w:p>
    <w:p w14:paraId="70D2B6D6"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Dự án Một số hạng mục thiết yếu thuộc Khu tái định cư Lao Bảo - Tân Thành: đã được HĐND tỉnh phê duyệt chủ trương đầu tư với tổng mức đầu tư 1,3 tỷ đồng, thời gian thực hiện 2023-2024.</w:t>
      </w:r>
    </w:p>
    <w:p w14:paraId="5EBD1292"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Dự án Tuyến RD-01 và RD-04 khu công nghiệp Quán Ngang: HĐND tỉnh đã phê duyệt chủ trương đầu tư với tổng mức đầu tư 25 tỷ đồng, thời gian thực hiện 2023-2025.</w:t>
      </w:r>
    </w:p>
    <w:p w14:paraId="167E5B5C"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b/>
          <w:bCs/>
          <w:i/>
          <w:iCs/>
          <w:sz w:val="28"/>
          <w:szCs w:val="28"/>
        </w:rPr>
        <w:t>Do đó</w:t>
      </w:r>
      <w:r w:rsidRPr="00F052C9">
        <w:rPr>
          <w:rFonts w:ascii="Times New Roman" w:hAnsi="Times New Roman" w:cs="Times New Roman"/>
          <w:sz w:val="28"/>
          <w:szCs w:val="28"/>
        </w:rPr>
        <w:t>, dự kiến giảm 28,7 tỷ đồng kế hoạch trung hạn giai đoạn 2021-2025 từ khoản vốn “Dự kiến bố trí sau” để bổ sung cho 02 dự án đầu tư hoàn thành và 02 dự án khởi công mới đã được HĐND tỉnh phê duyệt chủ trương đầu tư.</w:t>
      </w:r>
    </w:p>
    <w:p w14:paraId="0883969E" w14:textId="77777777" w:rsidR="00F052C9" w:rsidRPr="00F052C9" w:rsidRDefault="00F052C9" w:rsidP="006741DF">
      <w:pPr>
        <w:spacing w:before="60" w:after="60"/>
        <w:ind w:firstLine="720"/>
        <w:outlineLvl w:val="0"/>
        <w:rPr>
          <w:rFonts w:ascii="Times New Roman" w:hAnsi="Times New Roman" w:cs="Times New Roman"/>
          <w:i/>
          <w:iCs/>
          <w:sz w:val="28"/>
          <w:szCs w:val="28"/>
        </w:rPr>
      </w:pPr>
      <w:r w:rsidRPr="00F052C9">
        <w:rPr>
          <w:rFonts w:ascii="Times New Roman" w:hAnsi="Times New Roman" w:cs="Times New Roman"/>
          <w:i/>
          <w:iCs/>
          <w:sz w:val="28"/>
          <w:szCs w:val="28"/>
        </w:rPr>
        <w:t>(Chi tiết như biểu số 02 kèm theo)</w:t>
      </w:r>
    </w:p>
    <w:p w14:paraId="3B35D5BC" w14:textId="77777777" w:rsidR="00F052C9" w:rsidRPr="00F052C9" w:rsidRDefault="00F052C9" w:rsidP="00F052C9">
      <w:pPr>
        <w:spacing w:before="60" w:after="60"/>
        <w:ind w:firstLine="720"/>
        <w:jc w:val="both"/>
        <w:outlineLvl w:val="0"/>
        <w:rPr>
          <w:rFonts w:ascii="Times New Roman" w:hAnsi="Times New Roman" w:cs="Times New Roman"/>
          <w:b/>
          <w:bCs/>
          <w:sz w:val="28"/>
          <w:szCs w:val="28"/>
        </w:rPr>
      </w:pPr>
      <w:r w:rsidRPr="00F052C9">
        <w:rPr>
          <w:rFonts w:ascii="Times New Roman" w:hAnsi="Times New Roman" w:cs="Times New Roman"/>
          <w:b/>
          <w:bCs/>
          <w:sz w:val="28"/>
          <w:szCs w:val="28"/>
        </w:rPr>
        <w:t>III. Nguồn vốn xổ số kiến thiết:</w:t>
      </w:r>
    </w:p>
    <w:p w14:paraId="1B5558D4" w14:textId="77777777" w:rsidR="00F052C9" w:rsidRPr="00F052C9" w:rsidRDefault="00F052C9" w:rsidP="00F052C9">
      <w:pPr>
        <w:spacing w:before="60" w:after="60"/>
        <w:ind w:firstLine="720"/>
        <w:jc w:val="both"/>
        <w:outlineLvl w:val="0"/>
        <w:rPr>
          <w:rFonts w:ascii="Times New Roman" w:hAnsi="Times New Roman" w:cs="Times New Roman"/>
          <w:b/>
          <w:bCs/>
          <w:sz w:val="28"/>
          <w:szCs w:val="28"/>
        </w:rPr>
      </w:pPr>
      <w:r w:rsidRPr="00F052C9">
        <w:rPr>
          <w:rFonts w:ascii="Times New Roman" w:hAnsi="Times New Roman" w:cs="Times New Roman"/>
          <w:b/>
          <w:bCs/>
          <w:sz w:val="28"/>
          <w:szCs w:val="28"/>
        </w:rPr>
        <w:t xml:space="preserve">1. </w:t>
      </w:r>
      <w:bookmarkStart w:id="3" w:name="_Hlk145358389"/>
      <w:r w:rsidRPr="00F052C9">
        <w:rPr>
          <w:rFonts w:ascii="Times New Roman" w:hAnsi="Times New Roman" w:cs="Times New Roman"/>
          <w:b/>
          <w:bCs/>
          <w:sz w:val="28"/>
          <w:szCs w:val="28"/>
        </w:rPr>
        <w:t>Điều chỉnh tăng tổng nguồn kế hoạch trung hạn đã được HĐND tỉnh giao:</w:t>
      </w:r>
      <w:bookmarkEnd w:id="3"/>
    </w:p>
    <w:p w14:paraId="343D7417"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Kế hoạch đầu tư công trung hạn giai đoạn 2021-2025 được HĐND tỉnh giao là 200 tỷ đồng, bình quân mỗi năm 40 tỷ đồng. Kế hoạch 03 năm 2021-2023 được HĐND tỉnh giao là 113,987 tỷ đồng, cụ thể: năm 2021 là 35,3 tỷ đồng; năm 2022 là 38,687 tỷ đồng; năm 2023 là 40 tỷ đồng.</w:t>
      </w:r>
    </w:p>
    <w:p w14:paraId="349B5D3D"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Theo báo cáo của Công ty TNHH MTV Xổ số kiến thiết Quảng Trị</w:t>
      </w:r>
      <w:r w:rsidRPr="00F052C9">
        <w:rPr>
          <w:rStyle w:val="FootnoteReference"/>
          <w:rFonts w:ascii="Times New Roman" w:hAnsi="Times New Roman" w:cs="Times New Roman"/>
          <w:sz w:val="28"/>
          <w:szCs w:val="28"/>
        </w:rPr>
        <w:footnoteReference w:id="1"/>
      </w:r>
      <w:r w:rsidRPr="00F052C9">
        <w:rPr>
          <w:rFonts w:ascii="Times New Roman" w:hAnsi="Times New Roman" w:cs="Times New Roman"/>
          <w:sz w:val="28"/>
          <w:szCs w:val="28"/>
        </w:rPr>
        <w:t xml:space="preserve"> (viết tắt Công ty XSKT), nguồn thu XSKT kế hoạch 2023 tính đến ngày 15/8/2023 đạt 27,4 tỷ đồng và dự ước cả năm đạt 44,5 tỷ đồng, vượt 4,5 tỷ đồng so với kế hoạch được HĐND tỉnh giao đầu năm (chưa bao gồm khoảng 2,5 tỷ đồng nguồn thu Vietlot). Đồng thời, theo kế hoạch kinh doanh giai đoạn 2023-2026 và đề xuất của Công ty XSKT, dự kiến nguồn thu XSKT năm 2024 là 45 tỷ đồng và năm 2025 là 58,7 tỷ đồng (chưa bao gồm khoảng 2,5 tỷ đồng/năm từ nguồn thu Vietlot). Do đó, dự kiến nguồn thu XSKT giai đoạn 2021-2025 dự kiến đạt 229,687 tỷ đồng, vượt 29,687 tỷ đồng so với kế hoạch HĐND tỉnh giao. </w:t>
      </w:r>
    </w:p>
    <w:p w14:paraId="4754C08E"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Tuy nhiên, để đảm bảo an toàn, chủ động trong nguồn thu nên đề xuất nguồn thu XSKT kế hoạch trung hạn giai đoạn 2021-2025 là 223,987 tỷ đồng, tăng 23,987 tỷ đồng so với kế hoạch trung hạn HĐND tỉnh giao; cụ thể: năm </w:t>
      </w:r>
      <w:r w:rsidRPr="00F052C9">
        <w:rPr>
          <w:rFonts w:ascii="Times New Roman" w:hAnsi="Times New Roman" w:cs="Times New Roman"/>
          <w:sz w:val="28"/>
          <w:szCs w:val="28"/>
        </w:rPr>
        <w:lastRenderedPageBreak/>
        <w:t>2021 là 35,3 tỷ đồng; năm 2022 là 38,687 tỷ đồng; năm 2023 dự kiến  47 tỷ đồng</w:t>
      </w:r>
      <w:r w:rsidRPr="00F052C9">
        <w:rPr>
          <w:rStyle w:val="FootnoteReference"/>
          <w:rFonts w:ascii="Times New Roman" w:hAnsi="Times New Roman" w:cs="Times New Roman"/>
          <w:sz w:val="28"/>
          <w:szCs w:val="28"/>
        </w:rPr>
        <w:footnoteReference w:id="2"/>
      </w:r>
      <w:r w:rsidRPr="00F052C9">
        <w:rPr>
          <w:rFonts w:ascii="Times New Roman" w:hAnsi="Times New Roman" w:cs="Times New Roman"/>
          <w:sz w:val="28"/>
          <w:szCs w:val="28"/>
        </w:rPr>
        <w:t>; năm 2024 dự kiến 47 tỷ đồng</w:t>
      </w:r>
      <w:r w:rsidRPr="00F052C9">
        <w:rPr>
          <w:rStyle w:val="FootnoteReference"/>
          <w:rFonts w:ascii="Times New Roman" w:hAnsi="Times New Roman" w:cs="Times New Roman"/>
          <w:sz w:val="28"/>
          <w:szCs w:val="28"/>
        </w:rPr>
        <w:footnoteReference w:id="3"/>
      </w:r>
      <w:r w:rsidRPr="00F052C9">
        <w:rPr>
          <w:rFonts w:ascii="Times New Roman" w:hAnsi="Times New Roman" w:cs="Times New Roman"/>
          <w:sz w:val="28"/>
          <w:szCs w:val="28"/>
        </w:rPr>
        <w:t>; năm 2025 dự kiến 56 tỷ đồng</w:t>
      </w:r>
      <w:r w:rsidRPr="00F052C9">
        <w:rPr>
          <w:rStyle w:val="FootnoteReference"/>
          <w:rFonts w:ascii="Times New Roman" w:hAnsi="Times New Roman" w:cs="Times New Roman"/>
          <w:sz w:val="28"/>
          <w:szCs w:val="28"/>
        </w:rPr>
        <w:footnoteReference w:id="4"/>
      </w:r>
      <w:r w:rsidRPr="00F052C9">
        <w:rPr>
          <w:rFonts w:ascii="Times New Roman" w:hAnsi="Times New Roman" w:cs="Times New Roman"/>
          <w:sz w:val="28"/>
          <w:szCs w:val="28"/>
        </w:rPr>
        <w:t>.</w:t>
      </w:r>
    </w:p>
    <w:p w14:paraId="196BE7CC"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xml:space="preserve">Phương án điều chỉnh tăng tổng nguồn trung hạn giai đoạn 2021-2025 (23,987 tỷ đồng) cụ thể như sau: </w:t>
      </w:r>
    </w:p>
    <w:p w14:paraId="5BA83947"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Nhà ở vận động viên năng khiếu tỉnh: điều chuyển giảm vốn đấu giá đất (tại mục II.2.1), đồng thời bổ sung 5,507 tỷ đồng từ phần tăng thu nguồn XSKT để thực hiện hoàn thành dự án.</w:t>
      </w:r>
    </w:p>
    <w:p w14:paraId="5FAA2D29"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Hỗ trợ xây dựng nông thôn mới: ngày 23/02/2023 Thủ tướng Chính phủ có Quyết định số 147/QĐ-TTg giao bổ sung kế hoạch vốn đầu tư phát triển nguồn NSTW giai đoạn 2021-2025 thực hiện chương trình MTQG xây dựng nông thôn mới 29,82 tỷ đồng. Căn cứ Quyết định số 07/2022/QĐ-TTg của Thủ tướng Chính phủ và Nghị quyết số 21/2022/NQ-HĐND của HĐND tỉnh, ngân sách địa phương cần bố trí để đối ứng nguồn vốn ngân sách trung ương bổ sung là 29,82 tỷ đồng, trong đó: ngân sách tỉnh là 18,48 tỷ đồng và ngân sách huyện, xã là 11,34 tỷ đồng.</w:t>
      </w:r>
    </w:p>
    <w:p w14:paraId="1E936BF7" w14:textId="77777777" w:rsidR="00F052C9" w:rsidRPr="00F052C9" w:rsidRDefault="00F052C9" w:rsidP="00F052C9">
      <w:pPr>
        <w:spacing w:before="60" w:after="60"/>
        <w:ind w:firstLine="720"/>
        <w:jc w:val="both"/>
        <w:outlineLvl w:val="0"/>
        <w:rPr>
          <w:rFonts w:ascii="Times New Roman" w:hAnsi="Times New Roman" w:cs="Times New Roman"/>
          <w:b/>
          <w:bCs/>
          <w:sz w:val="28"/>
          <w:szCs w:val="28"/>
        </w:rPr>
      </w:pPr>
      <w:r w:rsidRPr="00F052C9">
        <w:rPr>
          <w:rFonts w:ascii="Times New Roman" w:hAnsi="Times New Roman" w:cs="Times New Roman"/>
          <w:b/>
          <w:bCs/>
          <w:sz w:val="28"/>
          <w:szCs w:val="28"/>
        </w:rPr>
        <w:t xml:space="preserve">2 </w:t>
      </w:r>
      <w:bookmarkStart w:id="4" w:name="_Hlk145358461"/>
      <w:r w:rsidRPr="00F052C9">
        <w:rPr>
          <w:rFonts w:ascii="Times New Roman" w:hAnsi="Times New Roman" w:cs="Times New Roman"/>
          <w:b/>
          <w:bCs/>
          <w:sz w:val="28"/>
          <w:szCs w:val="28"/>
        </w:rPr>
        <w:t>Điều chỉnh nội bộ kế hoạch trung hạn đã được HĐND tỉnh giao:</w:t>
      </w:r>
      <w:bookmarkEnd w:id="4"/>
    </w:p>
    <w:p w14:paraId="18A1B60E" w14:textId="77777777" w:rsidR="00F052C9" w:rsidRPr="00F052C9" w:rsidRDefault="00F052C9" w:rsidP="00F052C9">
      <w:pPr>
        <w:spacing w:before="60" w:after="60"/>
        <w:ind w:firstLine="720"/>
        <w:jc w:val="both"/>
        <w:outlineLvl w:val="0"/>
        <w:rPr>
          <w:rFonts w:ascii="Times New Roman" w:hAnsi="Times New Roman" w:cs="Times New Roman"/>
          <w:b/>
          <w:bCs/>
          <w:sz w:val="28"/>
          <w:szCs w:val="28"/>
        </w:rPr>
      </w:pPr>
      <w:bookmarkStart w:id="5" w:name="_Hlk145358549"/>
      <w:r w:rsidRPr="00F052C9">
        <w:rPr>
          <w:rFonts w:ascii="Times New Roman" w:hAnsi="Times New Roman" w:cs="Times New Roman"/>
          <w:i/>
          <w:iCs/>
          <w:sz w:val="28"/>
          <w:szCs w:val="28"/>
        </w:rPr>
        <w:t xml:space="preserve">* </w:t>
      </w:r>
      <w:r w:rsidRPr="00F052C9">
        <w:rPr>
          <w:rFonts w:ascii="Times New Roman" w:hAnsi="Times New Roman" w:cs="Times New Roman"/>
          <w:b/>
          <w:bCs/>
          <w:i/>
          <w:iCs/>
          <w:sz w:val="28"/>
          <w:szCs w:val="28"/>
        </w:rPr>
        <w:t>Dự án điều chỉnh giảm vốn</w:t>
      </w:r>
    </w:p>
    <w:p w14:paraId="0ED1E9F7"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Trường THPT Chế Lan Viên; hạng mục Nhà đa năng: Kế hoạch trung hạn 2021-2025 đã giao 1,5 tỷ đồng. Lũy kế vốn hàng năm bố trí trong kế hoạch trung hạn 2021-2025 đến nay là 1,009 tỷ đồng. Dự án đã hoàn thành, không có nhu cầu sử dụng 0,491 tỷ đồng.</w:t>
      </w:r>
    </w:p>
    <w:p w14:paraId="26096905"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Trường THPT Lê Thế Hiếu; hạng mục Nhà đa năng: Kế hoạch trung hạn 2021-2025 đã giao 1,5 tỷ đồng. Lũy kế vốn hàng năm bố trí trong kế hoạch trung hạn 2021-2025 đến nay là 1,136 tỷ đồng. Dự án đã hoàn thành, không có nhu cầu sử dụng 0,364 tỷ đồng</w:t>
      </w:r>
    </w:p>
    <w:p w14:paraId="520EB8CF"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Trường Tiểu học Hàm Nghi, TP Đông Hà - Hạng mục Nhà hiệu bộ: Kế hoạch trung hạn 2021-2025 đã giao 4,3 tỷ đồng. Lũy kế vốn hàng năm bố trí trong kế hoạch trung hạn 2021-2025 đến nay là 4,135 tỷ đồng. Dự án đã hoàn thành, không có nhu cầu sử dụng 0,165 tỷ đồng</w:t>
      </w:r>
    </w:p>
    <w:p w14:paraId="19D4CECB"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Cải tạo, nâng cấp Bệnh viện chuyên khoa Lao và Bệnh phổi; hạng mục: Xây mới khoa điều trị dịch bệnh nguy hiểm, nhà cầu nối và cải tạo sửa chửa một số hạng mục khác: Kế hoạch trung hạn 2021-2025 đã giao 12 tỷ đồng. Lũy kế vốn hàng năm bố trí trong kế hoạch trung hạn 2021-2025 đến nay là 11,306 tỷ đồng. Dự án đã hoàn thành, không có nhu cầu sử dụng 0,694 tỷ đồng.</w:t>
      </w:r>
    </w:p>
    <w:p w14:paraId="140E0350"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Sân vận động huyện Hải Lăng: Kế hoạch trung hạn 2021-2025 đã giao 5 tỷ đồng. Tuy nhiên, do dự án vướng 3,14 ha đất rừng tự nhiên nằm ở vùng lõi và không thể chuyển mục đích sử dụng đất rừng tự nhiên sang mục đích sử dụng đất văn hóa, thể thao nên không thể triển khai thực hiện dự án</w:t>
      </w:r>
    </w:p>
    <w:p w14:paraId="78A1C510" w14:textId="77777777" w:rsidR="00F052C9" w:rsidRPr="00F052C9" w:rsidRDefault="00F052C9" w:rsidP="00F052C9">
      <w:pPr>
        <w:spacing w:before="60" w:after="60"/>
        <w:ind w:firstLine="720"/>
        <w:jc w:val="both"/>
        <w:outlineLvl w:val="0"/>
        <w:rPr>
          <w:rFonts w:ascii="Times New Roman" w:hAnsi="Times New Roman" w:cs="Times New Roman"/>
          <w:i/>
          <w:iCs/>
          <w:sz w:val="28"/>
          <w:szCs w:val="28"/>
        </w:rPr>
      </w:pPr>
      <w:r w:rsidRPr="00F052C9">
        <w:rPr>
          <w:rFonts w:ascii="Times New Roman" w:hAnsi="Times New Roman" w:cs="Times New Roman"/>
          <w:i/>
          <w:iCs/>
          <w:sz w:val="28"/>
          <w:szCs w:val="28"/>
        </w:rPr>
        <w:t xml:space="preserve">* </w:t>
      </w:r>
      <w:r w:rsidRPr="00F052C9">
        <w:rPr>
          <w:rFonts w:ascii="Times New Roman" w:hAnsi="Times New Roman" w:cs="Times New Roman"/>
          <w:b/>
          <w:bCs/>
          <w:i/>
          <w:iCs/>
          <w:sz w:val="28"/>
          <w:szCs w:val="28"/>
        </w:rPr>
        <w:t>Dự án điều chỉnh tăng vốn</w:t>
      </w:r>
      <w:r w:rsidRPr="00F052C9">
        <w:rPr>
          <w:rFonts w:ascii="Times New Roman" w:hAnsi="Times New Roman" w:cs="Times New Roman"/>
          <w:i/>
          <w:iCs/>
          <w:sz w:val="28"/>
          <w:szCs w:val="28"/>
        </w:rPr>
        <w:t>:</w:t>
      </w:r>
    </w:p>
    <w:p w14:paraId="7111EF12"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lastRenderedPageBreak/>
        <w:t>- Dự án Sân thể dục thể thao và các hạng mục phụ trợ, huyện Hải Lăng: được đề xuất bổ sung danh mục trong kế hoạch trung hạn 2021-2025 để thay thế dự án Sân vận động huyện Hải Lăng. Dự án đã được HĐND huyện Hải Lăng phê duyệt chủ trương đầu tư tại Nghị quyết số 19/NQ-HĐND ngày 27/7/2023, tổng mức đầu tư 17,7 tỷ đồng. Kế hoạch trung hạn 2021-2025 của tỉnh cần bổ sung để hoàn thành dự án là 5 tỷ đồng.</w:t>
      </w:r>
    </w:p>
    <w:p w14:paraId="580D73E8"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sz w:val="28"/>
          <w:szCs w:val="28"/>
        </w:rPr>
        <w:t>- Dự án Nhà ở vận động viên năng khiếu tỉnh: điều chuyển giảm vốn đấu giá đất (tại mục II.2.1), đồng thời bổ sung 1,713 tỷ đồng từ điều chỉnh nội bộ nguồn XSKT để thực hiện hoàn thành dự án. Tổng số vốn bố trí cho dự án từ nguồn XSKT (mục III.1 và III.2) là 7,22 tỷ đồng.</w:t>
      </w:r>
    </w:p>
    <w:p w14:paraId="17247A8D" w14:textId="77777777" w:rsidR="00F052C9" w:rsidRPr="00F052C9" w:rsidRDefault="00F052C9" w:rsidP="00F052C9">
      <w:pPr>
        <w:spacing w:before="60" w:after="60"/>
        <w:ind w:firstLine="720"/>
        <w:jc w:val="both"/>
        <w:outlineLvl w:val="0"/>
        <w:rPr>
          <w:rFonts w:ascii="Times New Roman" w:hAnsi="Times New Roman" w:cs="Times New Roman"/>
          <w:sz w:val="28"/>
          <w:szCs w:val="28"/>
        </w:rPr>
      </w:pPr>
      <w:r w:rsidRPr="00F052C9">
        <w:rPr>
          <w:rFonts w:ascii="Times New Roman" w:hAnsi="Times New Roman" w:cs="Times New Roman"/>
          <w:b/>
          <w:bCs/>
          <w:i/>
          <w:iCs/>
          <w:sz w:val="28"/>
          <w:szCs w:val="28"/>
        </w:rPr>
        <w:t>Do đó</w:t>
      </w:r>
      <w:r w:rsidRPr="00F052C9">
        <w:rPr>
          <w:rFonts w:ascii="Times New Roman" w:hAnsi="Times New Roman" w:cs="Times New Roman"/>
          <w:sz w:val="28"/>
          <w:szCs w:val="28"/>
        </w:rPr>
        <w:t>, dự kiến giảm 6,713 tỷ đồng của 04 dự án hoàn thành, không có nhu cầu sử dụng (1,713 tỷ đồng) và 01 dự án không thể triển khai thực hiện (05 tỷ đồng) để bổ sung cho 01 dự án do nguồn vốn đấu giá đất cấp tỉnh quản lý không đạt (1,713 tỷ đồng) và 01 dự án để địa phương về đích nông thôn mới (05 tỷ đồng).</w:t>
      </w:r>
    </w:p>
    <w:p w14:paraId="6D7E42F2" w14:textId="77777777" w:rsidR="00F052C9" w:rsidRPr="00F052C9" w:rsidRDefault="00F052C9" w:rsidP="006741DF">
      <w:pPr>
        <w:spacing w:before="60" w:after="60"/>
        <w:ind w:firstLine="720"/>
        <w:outlineLvl w:val="0"/>
        <w:rPr>
          <w:rFonts w:ascii="Times New Roman" w:hAnsi="Times New Roman" w:cs="Times New Roman"/>
          <w:i/>
          <w:iCs/>
          <w:sz w:val="28"/>
          <w:szCs w:val="28"/>
        </w:rPr>
      </w:pPr>
      <w:r w:rsidRPr="00F052C9">
        <w:rPr>
          <w:rFonts w:ascii="Times New Roman" w:hAnsi="Times New Roman" w:cs="Times New Roman"/>
          <w:i/>
          <w:iCs/>
          <w:sz w:val="28"/>
          <w:szCs w:val="28"/>
        </w:rPr>
        <w:t>(Chi tiết như biểu số 03 kèm theo)</w:t>
      </w:r>
      <w:bookmarkEnd w:id="5"/>
    </w:p>
    <w:p w14:paraId="2681E67F" w14:textId="621C8648" w:rsidR="009F241A" w:rsidRPr="00BD169D" w:rsidRDefault="003B15DD" w:rsidP="00BD169D">
      <w:pPr>
        <w:spacing w:before="80" w:after="80" w:line="340" w:lineRule="exact"/>
        <w:ind w:firstLine="720"/>
        <w:jc w:val="both"/>
        <w:rPr>
          <w:rFonts w:ascii="Times New Roman" w:eastAsia="Times New Roman" w:hAnsi="Times New Roman" w:cs="Times New Roman"/>
          <w:spacing w:val="-4"/>
          <w:sz w:val="28"/>
          <w:szCs w:val="28"/>
        </w:rPr>
      </w:pPr>
      <w:r w:rsidRPr="00BD169D">
        <w:rPr>
          <w:rFonts w:ascii="Times New Roman" w:eastAsia="Times New Roman" w:hAnsi="Times New Roman" w:cs="Times New Roman"/>
          <w:sz w:val="28"/>
          <w:szCs w:val="28"/>
        </w:rPr>
        <w:t xml:space="preserve">Ủy ban nhân dân tỉnh kính trình Hội đồng nhân dân tỉnh </w:t>
      </w:r>
      <w:r w:rsidR="0006124F" w:rsidRPr="00BD169D">
        <w:rPr>
          <w:rFonts w:ascii="Times New Roman" w:eastAsia="Times New Roman" w:hAnsi="Times New Roman" w:cs="Times New Roman"/>
          <w:sz w:val="28"/>
          <w:szCs w:val="28"/>
          <w:lang w:val="en-US"/>
        </w:rPr>
        <w:t>k</w:t>
      </w:r>
      <w:r w:rsidRPr="00BD169D">
        <w:rPr>
          <w:rFonts w:ascii="Times New Roman" w:eastAsia="Times New Roman" w:hAnsi="Times New Roman" w:cs="Times New Roman"/>
          <w:sz w:val="28"/>
          <w:szCs w:val="28"/>
        </w:rPr>
        <w:t>hóa VIII</w:t>
      </w:r>
      <w:r w:rsidR="00D5355E" w:rsidRPr="00BD169D">
        <w:rPr>
          <w:rFonts w:ascii="Times New Roman" w:eastAsia="Times New Roman" w:hAnsi="Times New Roman" w:cs="Times New Roman"/>
          <w:sz w:val="28"/>
          <w:szCs w:val="28"/>
        </w:rPr>
        <w:t>,</w:t>
      </w:r>
      <w:r w:rsidR="00904FF5" w:rsidRPr="00BD169D">
        <w:rPr>
          <w:rFonts w:ascii="Times New Roman" w:eastAsia="Times New Roman" w:hAnsi="Times New Roman" w:cs="Times New Roman"/>
          <w:sz w:val="28"/>
          <w:szCs w:val="28"/>
          <w:lang w:val="en-US"/>
        </w:rPr>
        <w:t xml:space="preserve"> </w:t>
      </w:r>
      <w:r w:rsidR="0006124F" w:rsidRPr="00BD169D">
        <w:rPr>
          <w:rFonts w:ascii="Times New Roman" w:eastAsia="Times New Roman" w:hAnsi="Times New Roman" w:cs="Times New Roman"/>
          <w:sz w:val="28"/>
          <w:szCs w:val="28"/>
          <w:lang w:val="en-US"/>
        </w:rPr>
        <w:t>k</w:t>
      </w:r>
      <w:r w:rsidRPr="00BD169D">
        <w:rPr>
          <w:rFonts w:ascii="Times New Roman" w:eastAsia="Times New Roman" w:hAnsi="Times New Roman" w:cs="Times New Roman"/>
          <w:sz w:val="28"/>
          <w:szCs w:val="28"/>
        </w:rPr>
        <w:t xml:space="preserve">ỳ họp thứ </w:t>
      </w:r>
      <w:r w:rsidR="00816C02">
        <w:rPr>
          <w:rFonts w:ascii="Times New Roman" w:eastAsia="Times New Roman" w:hAnsi="Times New Roman" w:cs="Times New Roman"/>
          <w:sz w:val="28"/>
          <w:szCs w:val="28"/>
          <w:lang w:val="en-US"/>
        </w:rPr>
        <w:t>20</w:t>
      </w:r>
      <w:r w:rsidR="00904FF5" w:rsidRPr="00BD169D">
        <w:rPr>
          <w:rFonts w:ascii="Times New Roman" w:eastAsia="Times New Roman" w:hAnsi="Times New Roman" w:cs="Times New Roman"/>
          <w:sz w:val="28"/>
          <w:szCs w:val="28"/>
          <w:lang w:val="en-US"/>
        </w:rPr>
        <w:t xml:space="preserve"> </w:t>
      </w:r>
      <w:r w:rsidRPr="00BD169D">
        <w:rPr>
          <w:rFonts w:ascii="Times New Roman" w:eastAsia="Times New Roman" w:hAnsi="Times New Roman" w:cs="Times New Roman"/>
          <w:sz w:val="28"/>
          <w:szCs w:val="28"/>
        </w:rPr>
        <w:t>xem xét, quyết định</w:t>
      </w:r>
      <w:bookmarkStart w:id="6" w:name="page7"/>
      <w:bookmarkEnd w:id="6"/>
      <w:r w:rsidRPr="00BD169D">
        <w:rPr>
          <w:rFonts w:ascii="Times New Roman" w:eastAsia="Times New Roman" w:hAnsi="Times New Roman" w:cs="Times New Roman"/>
          <w:spacing w:val="-4"/>
          <w:sz w:val="28"/>
          <w:szCs w:val="28"/>
        </w:rPr>
        <w:t>./.</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3939"/>
      </w:tblGrid>
      <w:tr w:rsidR="005910A5" w:rsidRPr="00CD3FB8" w14:paraId="2771AADC" w14:textId="77777777" w:rsidTr="005275A1">
        <w:tc>
          <w:tcPr>
            <w:tcW w:w="5349" w:type="dxa"/>
          </w:tcPr>
          <w:p w14:paraId="21810F11" w14:textId="77777777" w:rsidR="00021F75" w:rsidRPr="00021F75" w:rsidRDefault="009F241A" w:rsidP="00021F75">
            <w:pPr>
              <w:jc w:val="both"/>
              <w:rPr>
                <w:rFonts w:ascii="Times New Roman" w:eastAsia="Times New Roman" w:hAnsi="Times New Roman" w:cs="Times New Roman"/>
                <w:b/>
                <w:i/>
                <w:sz w:val="26"/>
                <w:szCs w:val="22"/>
              </w:rPr>
            </w:pPr>
            <w:r>
              <w:rPr>
                <w:rFonts w:ascii="Times New Roman" w:eastAsia="Times New Roman" w:hAnsi="Times New Roman" w:cs="Times New Roman"/>
                <w:spacing w:val="-4"/>
                <w:sz w:val="28"/>
              </w:rPr>
              <w:br w:type="page"/>
            </w:r>
            <w:r w:rsidR="00021F75" w:rsidRPr="00021F75">
              <w:rPr>
                <w:rFonts w:ascii="Times New Roman" w:eastAsia="Times New Roman" w:hAnsi="Times New Roman" w:cs="Times New Roman"/>
                <w:b/>
                <w:i/>
                <w:sz w:val="26"/>
                <w:szCs w:val="22"/>
              </w:rPr>
              <w:t>Nơi nhận:</w:t>
            </w:r>
          </w:p>
          <w:p w14:paraId="6F2BCDFF" w14:textId="77777777" w:rsidR="00021F75" w:rsidRDefault="00021F75" w:rsidP="00021F75">
            <w:pPr>
              <w:jc w:val="both"/>
              <w:rPr>
                <w:rFonts w:ascii="Times New Roman" w:eastAsia="Times New Roman" w:hAnsi="Times New Roman" w:cs="Times New Roman"/>
                <w:sz w:val="22"/>
                <w:szCs w:val="22"/>
                <w:lang w:val="en-US"/>
              </w:rPr>
            </w:pPr>
            <w:r w:rsidRPr="00CD3FB8">
              <w:rPr>
                <w:rFonts w:ascii="Times New Roman" w:eastAsia="Times New Roman" w:hAnsi="Times New Roman" w:cs="Times New Roman"/>
                <w:sz w:val="22"/>
                <w:szCs w:val="22"/>
              </w:rPr>
              <w:t>- Như trên;</w:t>
            </w:r>
          </w:p>
          <w:p w14:paraId="7E8AB322" w14:textId="77777777" w:rsidR="00021F75" w:rsidRPr="001501C7" w:rsidRDefault="00021F75" w:rsidP="00021F75">
            <w:pP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Thường trực Tỉnh ủy;</w:t>
            </w:r>
            <w:bookmarkStart w:id="7" w:name="_GoBack"/>
            <w:bookmarkEnd w:id="7"/>
          </w:p>
          <w:p w14:paraId="2A07172A" w14:textId="77777777" w:rsidR="00021F75" w:rsidRPr="00CD3FB8" w:rsidRDefault="00021F75" w:rsidP="00021F75">
            <w:pPr>
              <w:tabs>
                <w:tab w:val="center" w:pos="6379"/>
                <w:tab w:val="center" w:pos="6663"/>
              </w:tabs>
              <w:rPr>
                <w:rFonts w:ascii="Times New Roman" w:eastAsia="Times New Roman" w:hAnsi="Times New Roman" w:cs="Times New Roman"/>
                <w:sz w:val="22"/>
                <w:szCs w:val="22"/>
                <w:lang w:val="en-US"/>
              </w:rPr>
            </w:pPr>
            <w:r w:rsidRPr="00CD3FB8">
              <w:rPr>
                <w:rFonts w:ascii="Times New Roman" w:eastAsia="Times New Roman" w:hAnsi="Times New Roman" w:cs="Times New Roman"/>
                <w:sz w:val="22"/>
                <w:szCs w:val="22"/>
                <w:lang w:val="en-US"/>
              </w:rPr>
              <w:t>- Thường trực HĐND tỉnh;</w:t>
            </w:r>
          </w:p>
          <w:p w14:paraId="6D106AD1" w14:textId="77777777" w:rsidR="00021F75" w:rsidRPr="00CD3FB8" w:rsidRDefault="00021F75" w:rsidP="00021F75">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Ban KT-NS</w:t>
            </w:r>
            <w:r>
              <w:rPr>
                <w:rFonts w:ascii="Times New Roman" w:eastAsia="Times New Roman" w:hAnsi="Times New Roman" w:cs="Times New Roman"/>
                <w:sz w:val="22"/>
                <w:szCs w:val="22"/>
                <w:lang w:val="en-US"/>
              </w:rPr>
              <w:t>, HĐND tỉnh</w:t>
            </w:r>
            <w:r w:rsidRPr="00CD3FB8">
              <w:rPr>
                <w:rFonts w:ascii="Times New Roman" w:eastAsia="Times New Roman" w:hAnsi="Times New Roman" w:cs="Times New Roman"/>
                <w:sz w:val="22"/>
                <w:szCs w:val="22"/>
              </w:rPr>
              <w:t>;</w:t>
            </w:r>
            <w:r w:rsidRPr="00CD3FB8">
              <w:rPr>
                <w:rFonts w:ascii="Times New Roman" w:eastAsia="Times New Roman" w:hAnsi="Times New Roman" w:cs="Times New Roman"/>
                <w:sz w:val="22"/>
                <w:szCs w:val="22"/>
              </w:rPr>
              <w:tab/>
            </w:r>
          </w:p>
          <w:p w14:paraId="29DEB57C" w14:textId="77777777" w:rsidR="00021F75" w:rsidRPr="00CD3FB8" w:rsidRDefault="00021F75" w:rsidP="00021F75">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Chủ tịch, các PCT UBND tỉnh;</w:t>
            </w:r>
          </w:p>
          <w:p w14:paraId="5FE51CB4" w14:textId="77777777" w:rsidR="00021F75" w:rsidRPr="00CD3FB8" w:rsidRDefault="00021F75" w:rsidP="00021F75">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xml:space="preserve">- </w:t>
            </w:r>
            <w:r w:rsidRPr="00CD3FB8">
              <w:rPr>
                <w:rFonts w:ascii="Times New Roman" w:eastAsia="Times New Roman" w:hAnsi="Times New Roman" w:cs="Times New Roman"/>
                <w:sz w:val="22"/>
                <w:szCs w:val="22"/>
                <w:lang w:val="en-US"/>
              </w:rPr>
              <w:t>Đại biểu HĐND tỉnh</w:t>
            </w:r>
            <w:r w:rsidRPr="00CD3FB8">
              <w:rPr>
                <w:rFonts w:ascii="Times New Roman" w:eastAsia="Times New Roman" w:hAnsi="Times New Roman" w:cs="Times New Roman"/>
                <w:sz w:val="22"/>
                <w:szCs w:val="22"/>
              </w:rPr>
              <w:t>;</w:t>
            </w:r>
          </w:p>
          <w:p w14:paraId="738B0A3E" w14:textId="77777777" w:rsidR="00021F75" w:rsidRPr="00CD3FB8" w:rsidRDefault="00021F75" w:rsidP="00021F75">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xml:space="preserve">- CVP, </w:t>
            </w:r>
            <w:r w:rsidRPr="00CD3FB8">
              <w:rPr>
                <w:rFonts w:ascii="Times New Roman" w:eastAsia="Times New Roman" w:hAnsi="Times New Roman" w:cs="Times New Roman"/>
                <w:sz w:val="22"/>
                <w:szCs w:val="22"/>
                <w:lang w:val="en-US"/>
              </w:rPr>
              <w:t xml:space="preserve">các </w:t>
            </w:r>
            <w:r w:rsidRPr="00CD3FB8">
              <w:rPr>
                <w:rFonts w:ascii="Times New Roman" w:eastAsia="Times New Roman" w:hAnsi="Times New Roman" w:cs="Times New Roman"/>
                <w:sz w:val="22"/>
                <w:szCs w:val="22"/>
              </w:rPr>
              <w:t>PVP UBND tỉnh;</w:t>
            </w:r>
          </w:p>
          <w:p w14:paraId="3814D918" w14:textId="77777777" w:rsidR="00021F75" w:rsidRPr="00CD3FB8" w:rsidRDefault="00021F75" w:rsidP="00021F75">
            <w:pPr>
              <w:tabs>
                <w:tab w:val="center" w:pos="6379"/>
                <w:tab w:val="center" w:pos="6663"/>
              </w:tabs>
              <w:rPr>
                <w:rFonts w:ascii="Times New Roman" w:eastAsia="Times New Roman" w:hAnsi="Times New Roman" w:cs="Times New Roman"/>
                <w:sz w:val="22"/>
                <w:szCs w:val="22"/>
              </w:rPr>
            </w:pPr>
            <w:r w:rsidRPr="00CD3FB8">
              <w:rPr>
                <w:rFonts w:ascii="Times New Roman" w:eastAsia="Times New Roman" w:hAnsi="Times New Roman" w:cs="Times New Roman"/>
                <w:sz w:val="22"/>
                <w:szCs w:val="22"/>
              </w:rPr>
              <w:t>- Lưu: VT, TH</w:t>
            </w:r>
            <w:r w:rsidRPr="00CD3FB8">
              <w:rPr>
                <w:rFonts w:ascii="Times New Roman" w:eastAsia="Times New Roman" w:hAnsi="Times New Roman" w:cs="Times New Roman"/>
                <w:sz w:val="22"/>
                <w:szCs w:val="22"/>
                <w:vertAlign w:val="subscript"/>
                <w:lang w:val="en-US"/>
              </w:rPr>
              <w:t>U</w:t>
            </w:r>
            <w:r w:rsidRPr="00CD3FB8">
              <w:rPr>
                <w:rFonts w:ascii="Times New Roman" w:eastAsia="Times New Roman" w:hAnsi="Times New Roman" w:cs="Times New Roman"/>
                <w:sz w:val="22"/>
                <w:szCs w:val="22"/>
              </w:rPr>
              <w:t>.</w:t>
            </w:r>
          </w:p>
          <w:p w14:paraId="2140850A" w14:textId="77777777" w:rsidR="005910A5" w:rsidRPr="00CD3FB8" w:rsidRDefault="005910A5" w:rsidP="00021F75">
            <w:pPr>
              <w:tabs>
                <w:tab w:val="center" w:pos="6379"/>
                <w:tab w:val="center" w:pos="6663"/>
              </w:tabs>
              <w:rPr>
                <w:rFonts w:ascii="Times New Roman" w:eastAsia="Times New Roman" w:hAnsi="Times New Roman" w:cs="Times New Roman"/>
                <w:spacing w:val="-4"/>
                <w:sz w:val="28"/>
              </w:rPr>
            </w:pPr>
          </w:p>
        </w:tc>
        <w:tc>
          <w:tcPr>
            <w:tcW w:w="3939" w:type="dxa"/>
          </w:tcPr>
          <w:p w14:paraId="433C9125"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TM. ỦY BAN NHÂN DÂN</w:t>
            </w:r>
          </w:p>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19533053" w14:textId="77777777" w:rsidR="005910A5" w:rsidRPr="00CD3FB8" w:rsidRDefault="005910A5" w:rsidP="00B50453">
            <w:pPr>
              <w:jc w:val="center"/>
              <w:rPr>
                <w:rFonts w:ascii="Times New Roman" w:eastAsia="Times New Roman" w:hAnsi="Times New Roman" w:cs="Times New Roman"/>
                <w:spacing w:val="-4"/>
                <w:sz w:val="28"/>
                <w:lang w:val="en-US"/>
              </w:rPr>
            </w:pPr>
            <w:r w:rsidRPr="00CD3FB8">
              <w:rPr>
                <w:rFonts w:ascii="Times New Roman" w:eastAsia="Times New Roman" w:hAnsi="Times New Roman" w:cs="Times New Roman"/>
                <w:b/>
                <w:sz w:val="28"/>
                <w:szCs w:val="28"/>
                <w:lang w:val="en-US"/>
              </w:rPr>
              <w:t>Võ Văn Hưng</w:t>
            </w:r>
          </w:p>
        </w:tc>
      </w:tr>
    </w:tbl>
    <w:p w14:paraId="4EB48812" w14:textId="77777777" w:rsidR="009F241A" w:rsidRDefault="009F241A" w:rsidP="00BD169D">
      <w:pPr>
        <w:spacing w:after="160" w:line="259" w:lineRule="auto"/>
        <w:ind w:firstLine="720"/>
        <w:rPr>
          <w:rFonts w:ascii="Times New Roman" w:eastAsia="Times New Roman" w:hAnsi="Times New Roman" w:cs="Times New Roman"/>
          <w:spacing w:val="-4"/>
          <w:sz w:val="28"/>
        </w:rPr>
      </w:pPr>
    </w:p>
    <w:p w14:paraId="7ED505AF" w14:textId="77777777" w:rsidR="003B15DD" w:rsidRPr="00CD3FB8" w:rsidRDefault="003B15DD" w:rsidP="00C17B83">
      <w:pPr>
        <w:spacing w:before="40" w:after="40" w:line="400" w:lineRule="exact"/>
        <w:ind w:firstLine="720"/>
        <w:jc w:val="both"/>
        <w:rPr>
          <w:rFonts w:ascii="Times New Roman" w:eastAsia="Times New Roman" w:hAnsi="Times New Roman" w:cs="Times New Roman"/>
          <w:spacing w:val="-4"/>
          <w:sz w:val="28"/>
          <w:lang w:val="en-US"/>
        </w:rPr>
      </w:pPr>
    </w:p>
    <w:p w14:paraId="0BFD161C" w14:textId="77777777" w:rsidR="009F241A" w:rsidRDefault="009F241A" w:rsidP="009F241A">
      <w:pPr>
        <w:pStyle w:val="Header"/>
        <w:tabs>
          <w:tab w:val="left" w:pos="720"/>
        </w:tabs>
        <w:jc w:val="right"/>
        <w:rPr>
          <w:rFonts w:ascii="Times New Roman" w:hAnsi="Times New Roman"/>
          <w:i/>
          <w:iCs/>
          <w:sz w:val="24"/>
          <w:szCs w:val="24"/>
        </w:rPr>
      </w:pPr>
    </w:p>
    <w:sectPr w:rsidR="009F241A" w:rsidSect="004E512B">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7DAC3" w14:textId="77777777" w:rsidR="00F72C00" w:rsidRDefault="00F72C00" w:rsidP="00007E57">
      <w:r>
        <w:separator/>
      </w:r>
    </w:p>
  </w:endnote>
  <w:endnote w:type="continuationSeparator" w:id="0">
    <w:p w14:paraId="0532C16D" w14:textId="77777777" w:rsidR="00F72C00" w:rsidRDefault="00F72C00"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1A4D6" w14:textId="77777777" w:rsidR="00F72C00" w:rsidRDefault="00F72C00" w:rsidP="00007E57">
      <w:r>
        <w:separator/>
      </w:r>
    </w:p>
  </w:footnote>
  <w:footnote w:type="continuationSeparator" w:id="0">
    <w:p w14:paraId="07184CF1" w14:textId="77777777" w:rsidR="00F72C00" w:rsidRDefault="00F72C00" w:rsidP="00007E57">
      <w:r>
        <w:continuationSeparator/>
      </w:r>
    </w:p>
  </w:footnote>
  <w:footnote w:id="1">
    <w:p w14:paraId="422014A7" w14:textId="77777777" w:rsidR="00F052C9" w:rsidRDefault="00F052C9" w:rsidP="00F052C9">
      <w:pPr>
        <w:pStyle w:val="FootnoteText"/>
        <w:ind w:firstLine="720"/>
      </w:pPr>
      <w:r>
        <w:rPr>
          <w:rStyle w:val="FootnoteReference"/>
        </w:rPr>
        <w:footnoteRef/>
      </w:r>
      <w:r>
        <w:t xml:space="preserve"> Tạo Văn bản số 92/BC-XSKT ngày 29/8/2023 của </w:t>
      </w:r>
      <w:r w:rsidRPr="00F3604E">
        <w:t>Công ty TNHH MTV Xổ số kiến thiết Quảng Trị</w:t>
      </w:r>
    </w:p>
  </w:footnote>
  <w:footnote w:id="2">
    <w:p w14:paraId="63C51153" w14:textId="77777777" w:rsidR="00F052C9" w:rsidRDefault="00F052C9" w:rsidP="00F052C9">
      <w:pPr>
        <w:pStyle w:val="FootnoteText"/>
        <w:ind w:firstLine="720"/>
      </w:pPr>
      <w:r>
        <w:rPr>
          <w:rStyle w:val="FootnoteReference"/>
        </w:rPr>
        <w:footnoteRef/>
      </w:r>
      <w:r>
        <w:t xml:space="preserve"> G</w:t>
      </w:r>
      <w:r w:rsidRPr="001A60E4">
        <w:t>ồm thu từ hoạt động kinh doanh của Công ty XSKT là 44,5 tỷ đồng</w:t>
      </w:r>
      <w:r>
        <w:t xml:space="preserve"> và </w:t>
      </w:r>
      <w:r w:rsidRPr="001A60E4">
        <w:t>của Vietlot là 2,5 tỷ đồng</w:t>
      </w:r>
    </w:p>
  </w:footnote>
  <w:footnote w:id="3">
    <w:p w14:paraId="1A368202" w14:textId="77777777" w:rsidR="00F052C9" w:rsidRDefault="00F052C9" w:rsidP="00F052C9">
      <w:pPr>
        <w:pStyle w:val="FootnoteText"/>
        <w:ind w:firstLine="720"/>
      </w:pPr>
      <w:r>
        <w:rPr>
          <w:rStyle w:val="FootnoteReference"/>
        </w:rPr>
        <w:footnoteRef/>
      </w:r>
      <w:r>
        <w:t xml:space="preserve"> G</w:t>
      </w:r>
      <w:r w:rsidRPr="001A60E4">
        <w:t>ồm thu từ hoạt động kinh doanh của Công ty XSKT là 44,5 tỷ đồng</w:t>
      </w:r>
      <w:r>
        <w:t xml:space="preserve"> và </w:t>
      </w:r>
      <w:r w:rsidRPr="001A60E4">
        <w:t>của Vietlot là 2,5 tỷ đồng</w:t>
      </w:r>
    </w:p>
  </w:footnote>
  <w:footnote w:id="4">
    <w:p w14:paraId="38264CEF" w14:textId="77777777" w:rsidR="00F052C9" w:rsidRDefault="00F052C9" w:rsidP="00F052C9">
      <w:pPr>
        <w:pStyle w:val="FootnoteText"/>
        <w:ind w:firstLine="720"/>
      </w:pPr>
      <w:r>
        <w:rPr>
          <w:rStyle w:val="FootnoteReference"/>
        </w:rPr>
        <w:footnoteRef/>
      </w:r>
      <w:r>
        <w:t xml:space="preserve"> Gồ</w:t>
      </w:r>
      <w:r w:rsidRPr="00971D51">
        <w:t>m thu từ hoạt động kinh doanh của Công ty XSKT là 53,5 tỷ đồng</w:t>
      </w:r>
      <w:r>
        <w:t xml:space="preserve"> và </w:t>
      </w:r>
      <w:r w:rsidRPr="00971D51">
        <w:t>của Vietlot là 2,5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021F75">
          <w:rPr>
            <w:noProof/>
          </w:rPr>
          <w:t>10</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DD"/>
    <w:rsid w:val="000036B2"/>
    <w:rsid w:val="000078A2"/>
    <w:rsid w:val="00007E57"/>
    <w:rsid w:val="00010509"/>
    <w:rsid w:val="00021F75"/>
    <w:rsid w:val="000322E1"/>
    <w:rsid w:val="00043137"/>
    <w:rsid w:val="0006124F"/>
    <w:rsid w:val="0006730D"/>
    <w:rsid w:val="000857CF"/>
    <w:rsid w:val="000928E0"/>
    <w:rsid w:val="00093205"/>
    <w:rsid w:val="000A2CE7"/>
    <w:rsid w:val="000B49FF"/>
    <w:rsid w:val="000D524B"/>
    <w:rsid w:val="000E481D"/>
    <w:rsid w:val="001030B5"/>
    <w:rsid w:val="00113980"/>
    <w:rsid w:val="001229AB"/>
    <w:rsid w:val="0012559D"/>
    <w:rsid w:val="00130494"/>
    <w:rsid w:val="00174531"/>
    <w:rsid w:val="001879DA"/>
    <w:rsid w:val="001A2126"/>
    <w:rsid w:val="001D5294"/>
    <w:rsid w:val="001E407F"/>
    <w:rsid w:val="00214C2F"/>
    <w:rsid w:val="00215BF5"/>
    <w:rsid w:val="00232476"/>
    <w:rsid w:val="00233AD0"/>
    <w:rsid w:val="002412A2"/>
    <w:rsid w:val="00245AC9"/>
    <w:rsid w:val="00245F50"/>
    <w:rsid w:val="00275E2E"/>
    <w:rsid w:val="002933DF"/>
    <w:rsid w:val="00293FE9"/>
    <w:rsid w:val="002A091D"/>
    <w:rsid w:val="002A3A1E"/>
    <w:rsid w:val="002D6505"/>
    <w:rsid w:val="002F3896"/>
    <w:rsid w:val="003258D5"/>
    <w:rsid w:val="00361880"/>
    <w:rsid w:val="00361C13"/>
    <w:rsid w:val="00364888"/>
    <w:rsid w:val="00367BC5"/>
    <w:rsid w:val="003A4891"/>
    <w:rsid w:val="003B0F49"/>
    <w:rsid w:val="003B15DD"/>
    <w:rsid w:val="003C431E"/>
    <w:rsid w:val="003C7F84"/>
    <w:rsid w:val="003E3F2F"/>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72F5F"/>
    <w:rsid w:val="004A7D5A"/>
    <w:rsid w:val="004C074F"/>
    <w:rsid w:val="004E0C08"/>
    <w:rsid w:val="004E512B"/>
    <w:rsid w:val="00500DFB"/>
    <w:rsid w:val="005012D5"/>
    <w:rsid w:val="00511AC3"/>
    <w:rsid w:val="00512524"/>
    <w:rsid w:val="005144A9"/>
    <w:rsid w:val="005275A1"/>
    <w:rsid w:val="00545E69"/>
    <w:rsid w:val="00552D61"/>
    <w:rsid w:val="00583B43"/>
    <w:rsid w:val="00587632"/>
    <w:rsid w:val="00587E7B"/>
    <w:rsid w:val="005910A5"/>
    <w:rsid w:val="005A6363"/>
    <w:rsid w:val="005B0895"/>
    <w:rsid w:val="005E3003"/>
    <w:rsid w:val="00604A84"/>
    <w:rsid w:val="00616697"/>
    <w:rsid w:val="00626CEF"/>
    <w:rsid w:val="0063131D"/>
    <w:rsid w:val="00640F24"/>
    <w:rsid w:val="00644495"/>
    <w:rsid w:val="00652E0E"/>
    <w:rsid w:val="006554C5"/>
    <w:rsid w:val="00657C7B"/>
    <w:rsid w:val="006741DF"/>
    <w:rsid w:val="0069337B"/>
    <w:rsid w:val="006960E2"/>
    <w:rsid w:val="0069619C"/>
    <w:rsid w:val="006A0DEF"/>
    <w:rsid w:val="006F304F"/>
    <w:rsid w:val="006F58B5"/>
    <w:rsid w:val="00705E07"/>
    <w:rsid w:val="00710419"/>
    <w:rsid w:val="0071692D"/>
    <w:rsid w:val="00732A5B"/>
    <w:rsid w:val="0073672A"/>
    <w:rsid w:val="007367A5"/>
    <w:rsid w:val="00737619"/>
    <w:rsid w:val="00737A4D"/>
    <w:rsid w:val="00767B8A"/>
    <w:rsid w:val="00775A59"/>
    <w:rsid w:val="00780297"/>
    <w:rsid w:val="0078113D"/>
    <w:rsid w:val="0079682C"/>
    <w:rsid w:val="007B3C2A"/>
    <w:rsid w:val="007B4513"/>
    <w:rsid w:val="007D1B47"/>
    <w:rsid w:val="00804F3E"/>
    <w:rsid w:val="00807E2C"/>
    <w:rsid w:val="00811234"/>
    <w:rsid w:val="00816C02"/>
    <w:rsid w:val="0082574F"/>
    <w:rsid w:val="00827448"/>
    <w:rsid w:val="008351C8"/>
    <w:rsid w:val="00840A4C"/>
    <w:rsid w:val="00840EED"/>
    <w:rsid w:val="0084625A"/>
    <w:rsid w:val="0085443D"/>
    <w:rsid w:val="008559F1"/>
    <w:rsid w:val="00856BC2"/>
    <w:rsid w:val="00865F73"/>
    <w:rsid w:val="00884D4A"/>
    <w:rsid w:val="008A4361"/>
    <w:rsid w:val="008B2351"/>
    <w:rsid w:val="008B762B"/>
    <w:rsid w:val="008C7993"/>
    <w:rsid w:val="008D509C"/>
    <w:rsid w:val="008E4E63"/>
    <w:rsid w:val="008E6496"/>
    <w:rsid w:val="008F36A5"/>
    <w:rsid w:val="008F493B"/>
    <w:rsid w:val="008F6EEF"/>
    <w:rsid w:val="00904FF5"/>
    <w:rsid w:val="00930E4A"/>
    <w:rsid w:val="00936869"/>
    <w:rsid w:val="009404C2"/>
    <w:rsid w:val="0094126A"/>
    <w:rsid w:val="009424C4"/>
    <w:rsid w:val="00952CC3"/>
    <w:rsid w:val="00956965"/>
    <w:rsid w:val="00956D82"/>
    <w:rsid w:val="00963937"/>
    <w:rsid w:val="0097146D"/>
    <w:rsid w:val="00974C4F"/>
    <w:rsid w:val="00980DEF"/>
    <w:rsid w:val="009923D1"/>
    <w:rsid w:val="009D1711"/>
    <w:rsid w:val="009D193F"/>
    <w:rsid w:val="009E0DD9"/>
    <w:rsid w:val="009F241A"/>
    <w:rsid w:val="009F32BF"/>
    <w:rsid w:val="00A46715"/>
    <w:rsid w:val="00A50C7B"/>
    <w:rsid w:val="00A81F1B"/>
    <w:rsid w:val="00A953D3"/>
    <w:rsid w:val="00A97994"/>
    <w:rsid w:val="00AB774B"/>
    <w:rsid w:val="00AC2CF9"/>
    <w:rsid w:val="00AE2BE5"/>
    <w:rsid w:val="00AF35BE"/>
    <w:rsid w:val="00B024D6"/>
    <w:rsid w:val="00B126F0"/>
    <w:rsid w:val="00B21D8D"/>
    <w:rsid w:val="00B220B9"/>
    <w:rsid w:val="00B4293A"/>
    <w:rsid w:val="00B44EB0"/>
    <w:rsid w:val="00B51975"/>
    <w:rsid w:val="00B659D0"/>
    <w:rsid w:val="00B72336"/>
    <w:rsid w:val="00B834E4"/>
    <w:rsid w:val="00B83A20"/>
    <w:rsid w:val="00B9278B"/>
    <w:rsid w:val="00BA2695"/>
    <w:rsid w:val="00BD169D"/>
    <w:rsid w:val="00BE51B3"/>
    <w:rsid w:val="00BE6BDF"/>
    <w:rsid w:val="00BE7E5F"/>
    <w:rsid w:val="00BF30A5"/>
    <w:rsid w:val="00C01FFB"/>
    <w:rsid w:val="00C03E42"/>
    <w:rsid w:val="00C17B83"/>
    <w:rsid w:val="00C51283"/>
    <w:rsid w:val="00C65741"/>
    <w:rsid w:val="00C66771"/>
    <w:rsid w:val="00C72A96"/>
    <w:rsid w:val="00C76F98"/>
    <w:rsid w:val="00C828F3"/>
    <w:rsid w:val="00C93003"/>
    <w:rsid w:val="00CC2194"/>
    <w:rsid w:val="00CC2373"/>
    <w:rsid w:val="00CD3FB8"/>
    <w:rsid w:val="00CE4DB2"/>
    <w:rsid w:val="00CF46AF"/>
    <w:rsid w:val="00D00CE5"/>
    <w:rsid w:val="00D24131"/>
    <w:rsid w:val="00D30A17"/>
    <w:rsid w:val="00D5355E"/>
    <w:rsid w:val="00D56DC0"/>
    <w:rsid w:val="00D72749"/>
    <w:rsid w:val="00D837A9"/>
    <w:rsid w:val="00DB036C"/>
    <w:rsid w:val="00DB0EF9"/>
    <w:rsid w:val="00DB479B"/>
    <w:rsid w:val="00DB67B8"/>
    <w:rsid w:val="00DE3FFB"/>
    <w:rsid w:val="00DF66A5"/>
    <w:rsid w:val="00E01CD4"/>
    <w:rsid w:val="00E02D12"/>
    <w:rsid w:val="00E03A66"/>
    <w:rsid w:val="00E12EE6"/>
    <w:rsid w:val="00E13FBF"/>
    <w:rsid w:val="00E159D8"/>
    <w:rsid w:val="00E37C8D"/>
    <w:rsid w:val="00E60249"/>
    <w:rsid w:val="00E64691"/>
    <w:rsid w:val="00E71D64"/>
    <w:rsid w:val="00E942FC"/>
    <w:rsid w:val="00E9630B"/>
    <w:rsid w:val="00EA337E"/>
    <w:rsid w:val="00EA5A2B"/>
    <w:rsid w:val="00EB0CF8"/>
    <w:rsid w:val="00EC283D"/>
    <w:rsid w:val="00ED0D04"/>
    <w:rsid w:val="00ED562B"/>
    <w:rsid w:val="00EE7908"/>
    <w:rsid w:val="00EF3B1E"/>
    <w:rsid w:val="00F01C2C"/>
    <w:rsid w:val="00F052C9"/>
    <w:rsid w:val="00F06DED"/>
    <w:rsid w:val="00F07933"/>
    <w:rsid w:val="00F2550F"/>
    <w:rsid w:val="00F32595"/>
    <w:rsid w:val="00F355BE"/>
    <w:rsid w:val="00F53852"/>
    <w:rsid w:val="00F61171"/>
    <w:rsid w:val="00F6616D"/>
    <w:rsid w:val="00F6681F"/>
    <w:rsid w:val="00F72C00"/>
    <w:rsid w:val="00F91697"/>
    <w:rsid w:val="00FA5B9A"/>
    <w:rsid w:val="00FB015E"/>
    <w:rsid w:val="00FB0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9F241A"/>
    <w:rPr>
      <w:rFonts w:ascii="Times New Roman" w:eastAsia="Times New Roman" w:hAnsi="Times New Roman" w:cs="Times New Roman"/>
      <w:lang w:val="en-AU" w:eastAsia="en-US"/>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qFormat/>
    <w:rsid w:val="009F241A"/>
    <w:rPr>
      <w:rFonts w:ascii="Times New Roman" w:eastAsia="Times New Roman" w:hAnsi="Times New Roman" w:cs="Times New Roman"/>
      <w:sz w:val="20"/>
      <w:szCs w:val="20"/>
      <w:lang w:val="en-AU"/>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harChar1CharCharCharChar1CharCharCharCharCharCharCharChar"/>
    <w:uiPriority w:val="99"/>
    <w:qFormat/>
    <w:rsid w:val="009F241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8B762B"/>
    <w:pPr>
      <w:spacing w:after="160" w:line="240" w:lineRule="exact"/>
    </w:pPr>
    <w:rPr>
      <w:rFonts w:asciiTheme="minorHAnsi" w:eastAsiaTheme="minorHAnsi" w:hAnsiTheme="minorHAnsi" w:cstheme="minorBidi"/>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qFormat/>
    <w:rsid w:val="009F241A"/>
    <w:rPr>
      <w:rFonts w:ascii="Times New Roman" w:eastAsia="Times New Roman" w:hAnsi="Times New Roman" w:cs="Times New Roman"/>
      <w:lang w:val="en-AU" w:eastAsia="en-US"/>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qFormat/>
    <w:rsid w:val="009F241A"/>
    <w:rPr>
      <w:rFonts w:ascii="Times New Roman" w:eastAsia="Times New Roman" w:hAnsi="Times New Roman" w:cs="Times New Roman"/>
      <w:sz w:val="20"/>
      <w:szCs w:val="20"/>
      <w:lang w:val="en-AU"/>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CharChar1CharCharCharChar1CharCharCharCharCharCharCharChar"/>
    <w:uiPriority w:val="99"/>
    <w:qFormat/>
    <w:rsid w:val="009F241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8B762B"/>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cp:lastModifiedBy>
  <cp:revision>9</cp:revision>
  <cp:lastPrinted>2022-06-22T00:09:00Z</cp:lastPrinted>
  <dcterms:created xsi:type="dcterms:W3CDTF">2023-09-14T00:32:00Z</dcterms:created>
  <dcterms:modified xsi:type="dcterms:W3CDTF">2023-09-14T09:38:00Z</dcterms:modified>
</cp:coreProperties>
</file>