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57" w:rsidRPr="00D6523D" w:rsidRDefault="00EF4357" w:rsidP="00EF4357">
      <w:pPr>
        <w:tabs>
          <w:tab w:val="center" w:pos="1526"/>
          <w:tab w:val="center" w:pos="6322"/>
        </w:tabs>
        <w:rPr>
          <w:rFonts w:ascii="Times New Roman" w:hAnsi="Times New Roman"/>
          <w:b/>
          <w:sz w:val="26"/>
          <w:szCs w:val="26"/>
        </w:rPr>
      </w:pPr>
      <w:r w:rsidRPr="00D6523D">
        <w:rPr>
          <w:rFonts w:ascii="Times New Roman" w:hAnsi="Times New Roman"/>
          <w:b/>
          <w:sz w:val="26"/>
          <w:szCs w:val="26"/>
        </w:rPr>
        <w:tab/>
        <w:t>ỦY BAN NHÂN DÂN</w:t>
      </w:r>
      <w:r w:rsidRPr="00D6523D">
        <w:rPr>
          <w:rFonts w:ascii="Times New Roman" w:hAnsi="Times New Roman"/>
          <w:b/>
          <w:sz w:val="26"/>
          <w:szCs w:val="26"/>
        </w:rPr>
        <w:tab/>
        <w:t>CỘNG HÒA XÃ HỘI CHỦ NGHĨA VIỆT NAM</w:t>
      </w:r>
    </w:p>
    <w:p w:rsidR="00EF4357" w:rsidRPr="00D6523D" w:rsidRDefault="00EF4357" w:rsidP="00EF4357">
      <w:pPr>
        <w:tabs>
          <w:tab w:val="center" w:pos="1526"/>
          <w:tab w:val="center" w:pos="6213"/>
        </w:tabs>
        <w:rPr>
          <w:rFonts w:ascii="Times New Roman" w:hAnsi="Times New Roman"/>
          <w:b/>
          <w:sz w:val="26"/>
        </w:rPr>
      </w:pPr>
      <w:r w:rsidRPr="00D6523D">
        <w:rPr>
          <w:rFonts w:ascii="Times New Roman" w:hAnsi="Times New Roman"/>
          <w:b/>
          <w:sz w:val="26"/>
          <w:szCs w:val="26"/>
        </w:rPr>
        <w:tab/>
        <w:t>TỈNH QUẢNG TRỊ</w:t>
      </w:r>
      <w:r w:rsidRPr="00B80FE4">
        <w:rPr>
          <w:b/>
          <w:sz w:val="26"/>
        </w:rPr>
        <w:t xml:space="preserve"> </w:t>
      </w:r>
      <w:r w:rsidRPr="00B80FE4">
        <w:rPr>
          <w:b/>
          <w:sz w:val="26"/>
        </w:rPr>
        <w:tab/>
      </w:r>
      <w:r w:rsidRPr="00D6523D">
        <w:rPr>
          <w:rFonts w:ascii="Times New Roman" w:hAnsi="Times New Roman"/>
          <w:b/>
          <w:sz w:val="28"/>
        </w:rPr>
        <w:t>Độc lập - Tự do - Hạnh phúc</w:t>
      </w:r>
    </w:p>
    <w:p w:rsidR="00EF4357" w:rsidRPr="00D6523D" w:rsidRDefault="001A4955" w:rsidP="00EF4357">
      <w:pPr>
        <w:tabs>
          <w:tab w:val="center" w:pos="1526"/>
          <w:tab w:val="center" w:pos="6758"/>
        </w:tabs>
        <w:rPr>
          <w:rFonts w:ascii="Times New Roman" w:hAnsi="Times New Roman"/>
          <w:sz w:val="4"/>
          <w:szCs w:val="28"/>
        </w:rPr>
      </w:pPr>
      <w:r w:rsidRPr="00D6523D">
        <w:rPr>
          <w:rFonts w:ascii="Times New Roman" w:hAnsi="Times New Roman"/>
          <w:b/>
          <w:noProof/>
          <w:sz w:val="18"/>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54610</wp:posOffset>
                </wp:positionV>
                <wp:extent cx="680720" cy="0"/>
                <wp:effectExtent l="13335" t="6985" r="10795" b="1206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AB04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4.3pt" to="10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ZZm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m6ePE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"/>
            </w:pict>
          </mc:Fallback>
        </mc:AlternateContent>
      </w:r>
      <w:r w:rsidRPr="00D6523D">
        <w:rPr>
          <w:rFonts w:ascii="Times New Roman" w:hAnsi="Times New Roman"/>
          <w:noProof/>
          <w:sz w:val="20"/>
        </w:rPr>
        <mc:AlternateContent>
          <mc:Choice Requires="wps">
            <w:drawing>
              <wp:anchor distT="0" distB="0" distL="114300" distR="114300" simplePos="0" relativeHeight="251658752" behindDoc="0" locked="0" layoutInCell="1" allowOverlap="1">
                <wp:simplePos x="0" y="0"/>
                <wp:positionH relativeFrom="column">
                  <wp:posOffset>2895600</wp:posOffset>
                </wp:positionH>
                <wp:positionV relativeFrom="paragraph">
                  <wp:posOffset>54610</wp:posOffset>
                </wp:positionV>
                <wp:extent cx="2082165" cy="0"/>
                <wp:effectExtent l="13335" t="6985"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C9F6"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3pt" to="391.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Rh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"/>
            </w:pict>
          </mc:Fallback>
        </mc:AlternateContent>
      </w:r>
      <w:r w:rsidR="00EF4357" w:rsidRPr="00D6523D">
        <w:rPr>
          <w:rFonts w:ascii="Times New Roman" w:hAnsi="Times New Roman"/>
          <w:sz w:val="20"/>
        </w:rPr>
        <w:tab/>
      </w:r>
    </w:p>
    <w:p w:rsidR="00EF4357" w:rsidRPr="00D6523D" w:rsidRDefault="00EF4357" w:rsidP="005F4C9F">
      <w:pPr>
        <w:tabs>
          <w:tab w:val="center" w:pos="1526"/>
          <w:tab w:val="center" w:pos="6215"/>
        </w:tabs>
        <w:spacing w:before="240"/>
        <w:rPr>
          <w:rFonts w:ascii="Times New Roman" w:hAnsi="Times New Roman"/>
          <w:i/>
          <w:sz w:val="28"/>
          <w:szCs w:val="28"/>
        </w:rPr>
      </w:pPr>
      <w:r w:rsidRPr="00D6523D">
        <w:rPr>
          <w:rFonts w:ascii="Times New Roman" w:hAnsi="Times New Roman"/>
          <w:i/>
          <w:sz w:val="28"/>
          <w:szCs w:val="28"/>
        </w:rPr>
        <w:tab/>
      </w:r>
      <w:r w:rsidRPr="00D6523D">
        <w:rPr>
          <w:rFonts w:ascii="Times New Roman" w:hAnsi="Times New Roman"/>
          <w:sz w:val="28"/>
          <w:szCs w:val="28"/>
        </w:rPr>
        <w:t>Số:          /</w:t>
      </w:r>
      <w:r w:rsidR="002B6344" w:rsidRPr="00D6523D">
        <w:rPr>
          <w:rFonts w:ascii="Times New Roman" w:hAnsi="Times New Roman"/>
          <w:sz w:val="28"/>
          <w:szCs w:val="28"/>
        </w:rPr>
        <w:t>TTr</w:t>
      </w:r>
      <w:r w:rsidRPr="00D6523D">
        <w:rPr>
          <w:rFonts w:ascii="Times New Roman" w:hAnsi="Times New Roman"/>
          <w:sz w:val="28"/>
          <w:szCs w:val="28"/>
        </w:rPr>
        <w:t>-UBND</w:t>
      </w:r>
      <w:r w:rsidRPr="00D6523D">
        <w:rPr>
          <w:rFonts w:ascii="Times New Roman" w:hAnsi="Times New Roman"/>
          <w:i/>
          <w:sz w:val="28"/>
          <w:szCs w:val="28"/>
        </w:rPr>
        <w:tab/>
        <w:t>Quảng Trị, ngày       tháng      năm 202</w:t>
      </w:r>
      <w:r w:rsidR="002853B8">
        <w:rPr>
          <w:rFonts w:ascii="Times New Roman" w:hAnsi="Times New Roman"/>
          <w:i/>
          <w:sz w:val="28"/>
          <w:szCs w:val="28"/>
        </w:rPr>
        <w:t>3</w:t>
      </w:r>
    </w:p>
    <w:p w:rsidR="005F4C9F" w:rsidRPr="005F4C9F" w:rsidRDefault="005F4C9F" w:rsidP="005F4C9F">
      <w:pPr>
        <w:tabs>
          <w:tab w:val="center" w:pos="1526"/>
          <w:tab w:val="center" w:pos="6215"/>
        </w:tabs>
        <w:spacing w:before="240"/>
        <w:rPr>
          <w:rFonts w:ascii="Times New Roman" w:hAnsi="Times New Roman"/>
          <w:i/>
          <w:sz w:val="2"/>
          <w:szCs w:val="28"/>
        </w:rPr>
      </w:pPr>
    </w:p>
    <w:p w:rsidR="00EF4357" w:rsidRPr="005F4C9F" w:rsidRDefault="005F4C9F" w:rsidP="005F4C9F">
      <w:pPr>
        <w:pStyle w:val="Footer"/>
        <w:shd w:val="clear" w:color="auto" w:fill="FFFFFF"/>
        <w:rPr>
          <w:rFonts w:ascii="Times New Roman" w:hAnsi="Times New Roman"/>
          <w:i/>
          <w:sz w:val="28"/>
          <w:szCs w:val="28"/>
        </w:rPr>
      </w:pPr>
      <w:r>
        <w:rPr>
          <w:rFonts w:ascii="Times New Roman" w:hAnsi="Times New Roman"/>
          <w:b/>
          <w:sz w:val="28"/>
          <w:szCs w:val="28"/>
        </w:rPr>
        <w:t xml:space="preserve">             </w:t>
      </w:r>
    </w:p>
    <w:p w:rsidR="00EF4357" w:rsidRDefault="002B6344" w:rsidP="00EF4357">
      <w:pPr>
        <w:pStyle w:val="Footer"/>
        <w:shd w:val="clear" w:color="auto" w:fill="FFFFFF"/>
        <w:jc w:val="center"/>
        <w:rPr>
          <w:rFonts w:ascii="Times New Roman" w:hAnsi="Times New Roman"/>
          <w:b/>
          <w:sz w:val="28"/>
          <w:szCs w:val="28"/>
        </w:rPr>
      </w:pPr>
      <w:r>
        <w:rPr>
          <w:rFonts w:ascii="Times New Roman" w:hAnsi="Times New Roman"/>
          <w:b/>
          <w:sz w:val="28"/>
          <w:szCs w:val="28"/>
        </w:rPr>
        <w:t>TỜ TRÌNH</w:t>
      </w:r>
    </w:p>
    <w:p w:rsidR="002853B8" w:rsidRPr="00747454" w:rsidRDefault="002853B8" w:rsidP="002853B8">
      <w:pPr>
        <w:shd w:val="clear" w:color="auto" w:fill="FFFFFF"/>
        <w:jc w:val="center"/>
        <w:rPr>
          <w:rFonts w:ascii="Times New Roman" w:hAnsi="Times New Roman"/>
          <w:b/>
          <w:kern w:val="36"/>
          <w:sz w:val="28"/>
          <w:szCs w:val="28"/>
        </w:rPr>
      </w:pPr>
      <w:r>
        <w:rPr>
          <w:rFonts w:ascii="Times New Roman" w:hAnsi="Times New Roman"/>
          <w:b/>
          <w:sz w:val="28"/>
          <w:szCs w:val="28"/>
        </w:rPr>
        <w:t>Dự thảo</w:t>
      </w:r>
      <w:r w:rsidRPr="00747454">
        <w:rPr>
          <w:rFonts w:ascii="Times New Roman" w:hAnsi="Times New Roman"/>
          <w:b/>
          <w:sz w:val="28"/>
          <w:szCs w:val="28"/>
        </w:rPr>
        <w:t xml:space="preserve"> Nghị quyết </w:t>
      </w:r>
      <w:r w:rsidRPr="007F206B">
        <w:rPr>
          <w:rFonts w:ascii="Times New Roman" w:hAnsi="Times New Roman"/>
          <w:b/>
          <w:bCs/>
          <w:sz w:val="28"/>
          <w:szCs w:val="28"/>
        </w:rPr>
        <w:t>Quy định chế độ dinh dưỡng đặc thù đối với huấn luyện viên, vận động viên đội tuyển năng khiếu tỉnh, đội tuyển sở, ngành cấp tỉnh và đội tuyển cấp huyện của tỉnh Quảng Trị trong thời gian tập trung tập huấn, thi đấu tại các giải thể thao thành tích cao</w:t>
      </w:r>
    </w:p>
    <w:p w:rsidR="00EF4357" w:rsidRPr="00EF4357" w:rsidRDefault="001A4955" w:rsidP="00EF4357">
      <w:pPr>
        <w:pStyle w:val="Footer"/>
        <w:shd w:val="clear" w:color="auto" w:fill="FFFFFF"/>
        <w:ind w:firstLine="545"/>
        <w:jc w:val="center"/>
        <w:rPr>
          <w:rFonts w:ascii="Times New Roman" w:hAnsi="Times New Roman"/>
          <w:b/>
          <w:sz w:val="28"/>
          <w:szCs w:val="28"/>
          <w:lang w:val="vi-VN"/>
        </w:rPr>
      </w:pPr>
      <w:r w:rsidRPr="00EF4357">
        <w:rPr>
          <w:rFonts w:ascii="Times New Roman" w:hAnsi="Times New Roman"/>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2311400</wp:posOffset>
                </wp:positionH>
                <wp:positionV relativeFrom="paragraph">
                  <wp:posOffset>82550</wp:posOffset>
                </wp:positionV>
                <wp:extent cx="1244600" cy="0"/>
                <wp:effectExtent l="10160" t="10160" r="1206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012C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6.5pt" to="2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f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"/>
            </w:pict>
          </mc:Fallback>
        </mc:AlternateContent>
      </w:r>
    </w:p>
    <w:p w:rsidR="002B6344" w:rsidRDefault="00EF4357" w:rsidP="002B6344">
      <w:pPr>
        <w:spacing w:before="120" w:after="120"/>
        <w:ind w:left="15" w:right="15" w:firstLine="585"/>
        <w:jc w:val="both"/>
        <w:rPr>
          <w:rFonts w:ascii="Times New Roman" w:hAnsi="Times New Roman"/>
          <w:sz w:val="6"/>
          <w:szCs w:val="28"/>
          <w:lang w:val="nl-NL"/>
        </w:rPr>
      </w:pPr>
      <w:r w:rsidRPr="00EF4357">
        <w:rPr>
          <w:rFonts w:ascii="Times New Roman" w:hAnsi="Times New Roman"/>
          <w:sz w:val="6"/>
          <w:szCs w:val="28"/>
          <w:lang w:val="nl-NL"/>
        </w:rPr>
        <w:tab/>
      </w:r>
    </w:p>
    <w:p w:rsidR="002B6344" w:rsidRPr="005609A8" w:rsidRDefault="002B6344" w:rsidP="002B6344">
      <w:pPr>
        <w:spacing w:before="120" w:after="120"/>
        <w:ind w:left="15" w:right="15" w:firstLine="585"/>
        <w:jc w:val="both"/>
        <w:rPr>
          <w:rFonts w:ascii="Times New Roman" w:hAnsi="Times New Roman"/>
          <w:sz w:val="28"/>
        </w:rPr>
      </w:pPr>
      <w:r>
        <w:rPr>
          <w:rFonts w:ascii="Times New Roman" w:hAnsi="Times New Roman"/>
          <w:sz w:val="6"/>
          <w:szCs w:val="28"/>
          <w:lang w:val="nl-NL"/>
        </w:rPr>
        <w:tab/>
      </w:r>
      <w:r>
        <w:rPr>
          <w:rFonts w:ascii="Times New Roman" w:hAnsi="Times New Roman"/>
          <w:sz w:val="6"/>
          <w:szCs w:val="28"/>
          <w:lang w:val="nl-NL"/>
        </w:rPr>
        <w:tab/>
      </w:r>
      <w:r w:rsidR="006036A6">
        <w:rPr>
          <w:rFonts w:ascii="Times New Roman" w:hAnsi="Times New Roman"/>
          <w:sz w:val="6"/>
          <w:szCs w:val="28"/>
          <w:lang w:val="nl-NL"/>
        </w:rPr>
        <w:t xml:space="preserve">   </w:t>
      </w:r>
      <w:r>
        <w:rPr>
          <w:rFonts w:ascii="Times New Roman" w:hAnsi="Times New Roman"/>
          <w:sz w:val="6"/>
          <w:szCs w:val="28"/>
          <w:lang w:val="nl-NL"/>
        </w:rPr>
        <w:tab/>
      </w:r>
      <w:r w:rsidR="00A01C70">
        <w:rPr>
          <w:rFonts w:ascii="Times New Roman" w:hAnsi="Times New Roman"/>
          <w:sz w:val="6"/>
          <w:szCs w:val="28"/>
          <w:lang w:val="nl-NL"/>
        </w:rPr>
        <w:t xml:space="preserve">    </w:t>
      </w:r>
      <w:r w:rsidR="006036A6">
        <w:rPr>
          <w:rFonts w:ascii="Times New Roman" w:hAnsi="Times New Roman"/>
          <w:sz w:val="6"/>
          <w:szCs w:val="28"/>
          <w:lang w:val="nl-NL"/>
        </w:rPr>
        <w:t xml:space="preserve">    </w:t>
      </w:r>
      <w:r w:rsidR="00A01C70">
        <w:rPr>
          <w:rFonts w:ascii="Times New Roman" w:hAnsi="Times New Roman"/>
          <w:sz w:val="6"/>
          <w:szCs w:val="28"/>
          <w:lang w:val="nl-NL"/>
        </w:rPr>
        <w:t xml:space="preserve">    </w:t>
      </w:r>
      <w:r w:rsidRPr="005609A8">
        <w:rPr>
          <w:rFonts w:ascii="Times New Roman" w:hAnsi="Times New Roman"/>
          <w:sz w:val="28"/>
        </w:rPr>
        <w:t>Kính gửi: Hội đồng nhân dân tỉnh.</w:t>
      </w:r>
    </w:p>
    <w:p w:rsidR="002B6344" w:rsidRPr="00A01C70" w:rsidRDefault="002B6344" w:rsidP="002B6344">
      <w:pPr>
        <w:spacing w:before="360"/>
        <w:ind w:right="-259"/>
        <w:jc w:val="center"/>
        <w:rPr>
          <w:rFonts w:ascii="Times New Roman" w:hAnsi="Times New Roman"/>
          <w:sz w:val="2"/>
        </w:rPr>
      </w:pPr>
    </w:p>
    <w:p w:rsidR="002853B8" w:rsidRPr="002853B8" w:rsidRDefault="002853B8" w:rsidP="002853B8">
      <w:pPr>
        <w:widowControl w:val="0"/>
        <w:shd w:val="clear" w:color="auto" w:fill="FFFFFF"/>
        <w:spacing w:before="80" w:line="252" w:lineRule="auto"/>
        <w:ind w:firstLine="567"/>
        <w:jc w:val="both"/>
        <w:rPr>
          <w:rFonts w:ascii="Times New Roman" w:hAnsi="Times New Roman"/>
          <w:iCs/>
          <w:sz w:val="28"/>
          <w:szCs w:val="28"/>
        </w:rPr>
      </w:pPr>
      <w:r w:rsidRPr="002853B8">
        <w:rPr>
          <w:rFonts w:ascii="Times New Roman" w:hAnsi="Times New Roman"/>
          <w:iCs/>
          <w:sz w:val="28"/>
          <w:szCs w:val="28"/>
        </w:rPr>
        <w:t>Thực hiện quy định của Luật ban hành văn bản quy phạm pháp luật, Ủy ban nhân dân tỉnh kính trình Hội đồng nhân dân tỉnh dự thảo</w:t>
      </w:r>
      <w:r w:rsidRPr="002853B8">
        <w:rPr>
          <w:rFonts w:ascii="Times New Roman" w:hAnsi="Times New Roman"/>
          <w:sz w:val="28"/>
          <w:szCs w:val="28"/>
        </w:rPr>
        <w:t xml:space="preserve"> Nghị quyết Quy định chế độ dinh dưỡng đặc thù đối với huấn luyện viên, vận động viên đội tuyển năng khiếu tỉnh, đội tuyển sở, ngành cấp tỉnh và đội tuyển cấp huyện của tỉnh Quảng Trị trong thời gian tập trung tập huấn, thi đấu tại các giải thể thao thành tích cao </w:t>
      </w:r>
      <w:r w:rsidRPr="002853B8">
        <w:rPr>
          <w:rFonts w:ascii="Times New Roman" w:hAnsi="Times New Roman"/>
          <w:sz w:val="28"/>
          <w:szCs w:val="28"/>
          <w:shd w:val="clear" w:color="auto" w:fill="FFFFFF"/>
        </w:rPr>
        <w:t>như sau:</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 xml:space="preserve">I. SỰ CẦN THIẾT BAN HÀNH VĂN BẢN </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1. Cơ sở pháp lý:</w:t>
      </w:r>
    </w:p>
    <w:p w:rsidR="002853B8" w:rsidRPr="002853B8" w:rsidRDefault="002853B8" w:rsidP="002853B8">
      <w:pPr>
        <w:widowControl w:val="0"/>
        <w:tabs>
          <w:tab w:val="right" w:leader="dot" w:pos="7920"/>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 Căn cứ Luật Ngân sách nhà nước ngày 25 tháng 6 năm 2015;</w:t>
      </w:r>
    </w:p>
    <w:p w:rsidR="002853B8" w:rsidRPr="002853B8" w:rsidRDefault="002853B8" w:rsidP="002853B8">
      <w:pPr>
        <w:widowControl w:val="0"/>
        <w:tabs>
          <w:tab w:val="right" w:leader="dot" w:pos="7920"/>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 Căn cứ Luật Thể dục, thể thao ngày 29 tháng 11 năm 2006 được sửa đổi, bổ sung một số điều theo Luật Thể dục, thể thao ngày 14 tháng 6 năm 2018;</w:t>
      </w:r>
    </w:p>
    <w:p w:rsidR="002853B8" w:rsidRPr="002853B8" w:rsidRDefault="002853B8" w:rsidP="002853B8">
      <w:pPr>
        <w:widowControl w:val="0"/>
        <w:tabs>
          <w:tab w:val="right" w:leader="dot" w:pos="7920"/>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 Căn cứ Nghị định số 36/2019/NĐ-CP ngày 20 tháng 4 năm 2019 của Chính phủ quy định chi tiết một số điều của Luật sửa đổi, bổ sung một số điều của Luật thể dục, thể thao;</w:t>
      </w:r>
    </w:p>
    <w:p w:rsidR="002853B8" w:rsidRPr="002853B8" w:rsidRDefault="002853B8" w:rsidP="002853B8">
      <w:pPr>
        <w:widowControl w:val="0"/>
        <w:tabs>
          <w:tab w:val="right" w:leader="dot" w:pos="7920"/>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 Căn cứ Thông tư số 86/2020/TT-BTC ngày 26/10/2020 của Bộ Tài chính Quy định chi tiết chế độ dinh dưỡng đặc thù đối với huấn luyện viên thể thao thành tích cao, vận động viên thể thao thành tích cao.</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2. Sự cần thiết:</w:t>
      </w:r>
    </w:p>
    <w:p w:rsidR="002853B8" w:rsidRPr="002853B8" w:rsidRDefault="002853B8" w:rsidP="002853B8">
      <w:pPr>
        <w:widowControl w:val="0"/>
        <w:tabs>
          <w:tab w:val="right" w:leader="dot" w:pos="7920"/>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 xml:space="preserve">Căn cứ khoản 2 Điều 6 Thông tư số 61/2018/TT-BTC ngày 26/7/2018 của Bộ Tài chính Quy định nội dung và mức chi để thực hiện chế độ dinh dưỡng đối với huấn luyện viên, vận động viên thể thao thành tích cao, Sở Tài chính đã phối hợp với Sở Văn hoá, Thể thao và Du lịch tham mưu UBND tỉnh trình Hội đồng nhân dân tỉnh ban hành Nghị quyết số 08/2019/NQ-HĐND ngày 20/7/2019 của HĐND tỉnh Quy định mức chi thực hiện chế độ dinh dưỡng đối với huấn luyện viên, vận động viên thể thao thành tích cao trên địa bàn tỉnh Quảng Trị. Nghị quyết là cơ sở để các cơ quan, đơn vị có liên quan tổ chức thực hiện chế độ dinh dưỡng đặc thù cho các đối tượng là đội tuyển tỉnh, huyện; đội tuyển trẻ tỉnh, </w:t>
      </w:r>
      <w:r w:rsidRPr="002853B8">
        <w:rPr>
          <w:rFonts w:ascii="Times New Roman" w:hAnsi="Times New Roman"/>
          <w:sz w:val="28"/>
          <w:szCs w:val="28"/>
        </w:rPr>
        <w:lastRenderedPageBreak/>
        <w:t>huyện; đội tuyển năng khiếu tỉnh, huyện trong thời gian tập huấn và thi đấu các giải thể thao, thể hiện sự quan tâm, tạo điều kiện của tỉnh trong việc phát triển thể thao thành tích cao tỉnh nhà, được sự đồng thuận cao của các cấp các ngành có liên quan và các huấn luyện viên, vận động viên thể thao của tỉnh.</w:t>
      </w:r>
    </w:p>
    <w:p w:rsidR="002853B8" w:rsidRPr="002853B8" w:rsidRDefault="002853B8" w:rsidP="002853B8">
      <w:pPr>
        <w:widowControl w:val="0"/>
        <w:tabs>
          <w:tab w:val="right" w:leader="dot" w:pos="7920"/>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Ngày 26/10/2020, Bộ Tài chính ban hành Thông tư số 86/2020/TT-BTC quy định chi tiết chế độ dinh dưỡng đặc thù đối với huấn luyện viên thể thao, vận động viên thể thao thành tích cao, có hiệu lực thi hành kể từ ngày 01/01/2021, đồng thời bãi bỏ Thông tư số 61/2018/TT-BTC ngày 26/7/2018 của Bộ Tài chính (là căn cứ ban hành Nghị quyết số 08/2019/NQ-HĐND ngày 20/7/2019 của HĐND tỉnh). Căn cứ kết quả rà soát văn bản quy phạm pháp luật, UBND tỉnh nhận thấy như sau:</w:t>
      </w:r>
    </w:p>
    <w:p w:rsidR="002853B8" w:rsidRPr="002853B8" w:rsidRDefault="00426C2D" w:rsidP="002853B8">
      <w:pPr>
        <w:widowControl w:val="0"/>
        <w:tabs>
          <w:tab w:val="right" w:leader="dot" w:pos="7920"/>
        </w:tabs>
        <w:spacing w:before="80" w:line="252" w:lineRule="auto"/>
        <w:ind w:firstLine="567"/>
        <w:jc w:val="both"/>
        <w:rPr>
          <w:rFonts w:ascii="Times New Roman" w:hAnsi="Times New Roman"/>
          <w:sz w:val="28"/>
          <w:szCs w:val="28"/>
        </w:rPr>
      </w:pPr>
      <w:r w:rsidRPr="00F92C2E">
        <w:rPr>
          <w:rFonts w:ascii="Times New Roman" w:hAnsi="Times New Roman"/>
          <w:i/>
          <w:color w:val="FF0000"/>
          <w:sz w:val="28"/>
          <w:szCs w:val="28"/>
        </w:rPr>
        <w:t xml:space="preserve">- </w:t>
      </w:r>
      <w:r w:rsidR="002853B8" w:rsidRPr="00F92C2E">
        <w:rPr>
          <w:rFonts w:ascii="Times New Roman" w:hAnsi="Times New Roman"/>
          <w:i/>
          <w:color w:val="FF0000"/>
          <w:sz w:val="28"/>
          <w:szCs w:val="28"/>
        </w:rPr>
        <w:t>Thứ nhất,</w:t>
      </w:r>
      <w:r w:rsidR="002853B8" w:rsidRPr="00F92C2E">
        <w:rPr>
          <w:rFonts w:ascii="Times New Roman" w:hAnsi="Times New Roman"/>
          <w:color w:val="FF0000"/>
          <w:sz w:val="28"/>
          <w:szCs w:val="28"/>
        </w:rPr>
        <w:t xml:space="preserve"> </w:t>
      </w:r>
      <w:r w:rsidR="002853B8" w:rsidRPr="00F92C2E">
        <w:rPr>
          <w:rFonts w:ascii="Times New Roman" w:hAnsi="Times New Roman"/>
          <w:color w:val="0000FF"/>
          <w:sz w:val="28"/>
          <w:szCs w:val="28"/>
        </w:rPr>
        <w:t xml:space="preserve">Thông tư số 86/2020/TT-BTC </w:t>
      </w:r>
      <w:r w:rsidR="002853B8" w:rsidRPr="00F92C2E">
        <w:rPr>
          <w:rFonts w:ascii="Times New Roman" w:hAnsi="Times New Roman"/>
          <w:color w:val="FF0000"/>
          <w:sz w:val="28"/>
          <w:szCs w:val="28"/>
        </w:rPr>
        <w:t>quy định cụ thể nội dung chi và mức chi thực hiện chế độ dinh dưỡng đặc thù cho đối tượng là huấn luyện viên thể thao thành tích cao, vận động viên thể thao thành tích cao của đội tuyển cấp tỉnh, đội tuyển trẻ cấp tỉnh trong thời gian tập trung tập huấn và thi đấu tại các giải thể thao thành tích cao quy định tại Điều 37 Luật Thể dục thể thao năm 2006 đã được sửa đổi, bổ sung năm 2018</w:t>
      </w:r>
      <w:r w:rsidR="002853B8" w:rsidRPr="002853B8">
        <w:rPr>
          <w:rFonts w:ascii="Times New Roman" w:hAnsi="Times New Roman"/>
          <w:sz w:val="28"/>
          <w:szCs w:val="28"/>
        </w:rPr>
        <w:t xml:space="preserve"> và </w:t>
      </w:r>
      <w:r w:rsidR="002853B8" w:rsidRPr="00F92C2E">
        <w:rPr>
          <w:rFonts w:ascii="Times New Roman" w:hAnsi="Times New Roman"/>
          <w:color w:val="0000FF"/>
          <w:sz w:val="28"/>
          <w:szCs w:val="28"/>
        </w:rPr>
        <w:t>không có quy định cho UBND tỉnh hay Hội đồng nhân dân tỉnh quy định lại nội dung và mức chi đối với đối tượng này</w:t>
      </w:r>
      <w:r w:rsidR="002853B8" w:rsidRPr="002853B8">
        <w:rPr>
          <w:rFonts w:ascii="Times New Roman" w:hAnsi="Times New Roman"/>
          <w:sz w:val="28"/>
          <w:szCs w:val="28"/>
        </w:rPr>
        <w:t xml:space="preserve">. </w:t>
      </w:r>
      <w:r w:rsidR="002853B8" w:rsidRPr="00426C2D">
        <w:rPr>
          <w:rFonts w:ascii="Times New Roman" w:hAnsi="Times New Roman"/>
          <w:color w:val="FF0000"/>
          <w:sz w:val="28"/>
          <w:szCs w:val="28"/>
        </w:rPr>
        <w:t>Nghị quyết số 08/2019/NQ-HĐND ngày 20/7/2019 của HĐND tỉnh là văn bản quy phạm pháp luật quy định chi tiết khoản 2 Điều 6 Thông tư số 61/2018/TT-BTC (đã hết hiệu lực thi hành kể từ ngày 01/01/2021</w:t>
      </w:r>
      <w:r w:rsidR="002853B8" w:rsidRPr="002853B8">
        <w:rPr>
          <w:rFonts w:ascii="Times New Roman" w:hAnsi="Times New Roman"/>
          <w:sz w:val="28"/>
          <w:szCs w:val="28"/>
        </w:rPr>
        <w:t>). Căn cứ quy định tại khoản 4 Điều 154 Luật Ban hành văn bản quy phạm pháp luật 2015, văn bản quy phạm pháp luật hết hiệu lực thì văn bản quy phạm pháp luật quy định chi tiết thi hành văn bản đó cũng đồng thời hết hiệu lực.</w:t>
      </w:r>
    </w:p>
    <w:p w:rsidR="002853B8" w:rsidRPr="002853B8" w:rsidRDefault="002853B8" w:rsidP="002853B8">
      <w:pPr>
        <w:widowControl w:val="0"/>
        <w:tabs>
          <w:tab w:val="right" w:leader="dot" w:pos="7920"/>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Như vậy, việc tiếp tục duy trì và thực hiện Nghị quyết số 08/2019/NQ-HĐND ngày 20/7/2019 của HĐND tỉnh là chưa phù hợp với quy định của pháp luật hiện hành, cần thiết phải thực hiện quy trình bãi bỏ Nghị quyết.</w:t>
      </w:r>
    </w:p>
    <w:p w:rsidR="002853B8" w:rsidRPr="002853B8" w:rsidRDefault="00426C2D" w:rsidP="002853B8">
      <w:pPr>
        <w:widowControl w:val="0"/>
        <w:tabs>
          <w:tab w:val="right" w:leader="dot" w:pos="7920"/>
        </w:tabs>
        <w:spacing w:before="80" w:line="252" w:lineRule="auto"/>
        <w:ind w:firstLine="567"/>
        <w:jc w:val="both"/>
        <w:rPr>
          <w:rFonts w:ascii="Times New Roman" w:hAnsi="Times New Roman"/>
          <w:sz w:val="28"/>
          <w:szCs w:val="28"/>
        </w:rPr>
      </w:pPr>
      <w:r>
        <w:rPr>
          <w:rFonts w:ascii="Times New Roman" w:hAnsi="Times New Roman"/>
          <w:sz w:val="28"/>
          <w:szCs w:val="28"/>
        </w:rPr>
        <w:t xml:space="preserve">- </w:t>
      </w:r>
      <w:r w:rsidR="002853B8" w:rsidRPr="00426C2D">
        <w:rPr>
          <w:rFonts w:ascii="Times New Roman" w:hAnsi="Times New Roman"/>
          <w:i/>
          <w:sz w:val="28"/>
          <w:szCs w:val="28"/>
        </w:rPr>
        <w:t>Thứ hai</w:t>
      </w:r>
      <w:r w:rsidR="002853B8" w:rsidRPr="002853B8">
        <w:rPr>
          <w:rFonts w:ascii="Times New Roman" w:hAnsi="Times New Roman"/>
          <w:sz w:val="28"/>
          <w:szCs w:val="28"/>
        </w:rPr>
        <w:t xml:space="preserve">, căn cứ khoản 2 Điều 6 Thông tư số 86/2020/TT-BTC: </w:t>
      </w:r>
      <w:r w:rsidR="002853B8" w:rsidRPr="002853B8">
        <w:rPr>
          <w:rFonts w:ascii="Times New Roman" w:hAnsi="Times New Roman"/>
          <w:i/>
          <w:iCs/>
          <w:sz w:val="28"/>
          <w:szCs w:val="28"/>
        </w:rPr>
        <w:t xml:space="preserve">“Căn cứ yêu cầu nhiệm vụ và khả năng cân đối của ngân sách địa phương, trên cơ sở tham khảo các mức chi quy định tại Thông tư này, Hội đồng nhân dân cấp tỉnh quyết định chế độ dinh dưỡng đặc </w:t>
      </w:r>
      <w:r w:rsidR="002853B8" w:rsidRPr="00F92C2E">
        <w:rPr>
          <w:rFonts w:ascii="Times New Roman" w:hAnsi="Times New Roman"/>
          <w:i/>
          <w:iCs/>
          <w:color w:val="0000FF"/>
          <w:sz w:val="28"/>
          <w:szCs w:val="28"/>
        </w:rPr>
        <w:t xml:space="preserve">thù cho các đối tượng huấn luyện viên, vận động viên thể thao khác </w:t>
      </w:r>
      <w:r w:rsidR="002853B8" w:rsidRPr="002853B8">
        <w:rPr>
          <w:rFonts w:ascii="Times New Roman" w:hAnsi="Times New Roman"/>
          <w:i/>
          <w:iCs/>
          <w:sz w:val="28"/>
          <w:szCs w:val="28"/>
        </w:rPr>
        <w:t>đang tập trung tập huấn, thi đấu của địa phương, bảo đảm phù hợp với quy định của Luật ngân sách nhà nước và các quy định hiện hành”</w:t>
      </w:r>
      <w:r>
        <w:rPr>
          <w:rFonts w:ascii="Times New Roman" w:hAnsi="Times New Roman"/>
          <w:i/>
          <w:iCs/>
          <w:sz w:val="28"/>
          <w:szCs w:val="28"/>
        </w:rPr>
        <w:t>.</w:t>
      </w:r>
      <w:r w:rsidR="002853B8" w:rsidRPr="002853B8">
        <w:rPr>
          <w:rFonts w:ascii="Times New Roman" w:hAnsi="Times New Roman"/>
          <w:sz w:val="28"/>
          <w:szCs w:val="28"/>
        </w:rPr>
        <w:t xml:space="preserve"> Hội đồng nhân dân tỉnh có thẩm quyền quy định mức chi chế độ dinh dưỡng đặc thù cho các đối tượng là huấn luyện viên thể thao thành tích cao, vận động viên thể thao thành tích cao khác của địa phương (</w:t>
      </w:r>
      <w:r w:rsidR="002853B8" w:rsidRPr="00F92C2E">
        <w:rPr>
          <w:rFonts w:ascii="Times New Roman" w:hAnsi="Times New Roman"/>
          <w:color w:val="0000FF"/>
          <w:sz w:val="28"/>
          <w:szCs w:val="28"/>
        </w:rPr>
        <w:t>ngoài đối tượng đã được quy định tại Thông tư số 86/2020/TT-BTC</w:t>
      </w:r>
      <w:r w:rsidR="002853B8" w:rsidRPr="002853B8">
        <w:rPr>
          <w:rFonts w:ascii="Times New Roman" w:hAnsi="Times New Roman"/>
          <w:sz w:val="28"/>
          <w:szCs w:val="28"/>
        </w:rPr>
        <w:t xml:space="preserve">). Căn cứ tình hình thực tế công tác tuyển chọn, đào tạo vận động viên và tổ chức các giải thể thao thành tích cao tại Quảng Trị, các đối tượng huấn luyện viên, vận động viên thể thao thành tích cao khác gồm: Đội tuyển năng khiếu tỉnh (tham gia thi đấu các giải thể thao thành tích cao do cấp có thẩm quyền tổ chức theo quy định tại Điều 37 Luật Thể dục thể thao năm 2006 đã được sửa đổi, bổ sung năm 2018) và đội tuyển sở, ban, ngành cấp tỉnh, đội tuyển cấp </w:t>
      </w:r>
      <w:r w:rsidR="002853B8" w:rsidRPr="002853B8">
        <w:rPr>
          <w:rFonts w:ascii="Times New Roman" w:hAnsi="Times New Roman"/>
          <w:sz w:val="28"/>
          <w:szCs w:val="28"/>
        </w:rPr>
        <w:lastRenderedPageBreak/>
        <w:t>huyện, thị xã, thành phố thuộc tỉnh (tham gia thi đấu các giải thể thao thành tích cao cấp tỉnh theo quy định tại khoản 6, khoản 7 Điều 37 Luật Thể dục thể thao năm 2006 đã được sửa đổi, bổ sung năm 2018). Các đối tượng này sẽ không được hưởng chế độ dinh dưỡng đặc thù trong thời gian tập trung tập huấn và thi đấu sau khi Nghị quyết số 08/2019/NQ-HĐND ngày 20/7/2019 của HĐND tỉnh được bãi bỏ.</w:t>
      </w:r>
    </w:p>
    <w:p w:rsidR="002853B8" w:rsidRPr="002853B8" w:rsidRDefault="002853B8" w:rsidP="002853B8">
      <w:pPr>
        <w:widowControl w:val="0"/>
        <w:tabs>
          <w:tab w:val="right" w:leader="dot" w:pos="7920"/>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Để kịp thời động viên phong trào, nâng cao thành tích thi đấu của các huấn luyện viên, vận động viên tại các giải thể thao thành tích cao trên địa bàn tỉnh Quảng Trị, cần thiết phải ban hành quy định nội dung và mức chi chế độ dinh dưỡng đặc thù cho các đối tượng là huấn luyện viên, vận động viên thể thao thành tích cao của: đội tuyển năng khiếu tỉnh; đội tuyển sở, ban, ngành cấp tỉnh và đội tuyển cấp huyện, thị xã, thành phố thuộc tỉnh trong thời gian tập trung tập huấn và thi đấu tại các giải thể thao thành tích cao.</w:t>
      </w:r>
    </w:p>
    <w:p w:rsidR="002853B8" w:rsidRPr="002853B8" w:rsidRDefault="002853B8" w:rsidP="002853B8">
      <w:pPr>
        <w:widowControl w:val="0"/>
        <w:tabs>
          <w:tab w:val="center" w:pos="1843"/>
          <w:tab w:val="center" w:pos="6431"/>
        </w:tabs>
        <w:spacing w:before="80" w:line="252" w:lineRule="auto"/>
        <w:ind w:firstLine="567"/>
        <w:jc w:val="both"/>
        <w:rPr>
          <w:rFonts w:ascii="Times New Roman" w:hAnsi="Times New Roman"/>
          <w:sz w:val="28"/>
          <w:szCs w:val="28"/>
        </w:rPr>
      </w:pPr>
      <w:r w:rsidRPr="002853B8">
        <w:rPr>
          <w:rFonts w:ascii="Times New Roman" w:hAnsi="Times New Roman"/>
          <w:sz w:val="28"/>
          <w:szCs w:val="28"/>
        </w:rPr>
        <w:t xml:space="preserve">Từ sự cần thiết và các căn cứ nêu trên, UBND tỉnh trình HĐND tỉnh dự thảo </w:t>
      </w:r>
      <w:r w:rsidRPr="002853B8">
        <w:rPr>
          <w:rFonts w:ascii="Times New Roman" w:hAnsi="Times New Roman"/>
          <w:sz w:val="28"/>
          <w:szCs w:val="28"/>
          <w:shd w:val="clear" w:color="auto" w:fill="FFFFFF"/>
        </w:rPr>
        <w:t xml:space="preserve">Nghị quyết Quy định chế độ dinh dưỡng đặc thù đối với huấn luyện viên, vận động viên đội tuyển năng khiếu tỉnh, đội tuyển sở, ngành cấp tỉnh và đội tuyển cấp huyện của tỉnh Quảng Trị trong thời gian tập trung tập huấn, thi đấu tại các giải thể thao thành tích cao. </w:t>
      </w:r>
      <w:r w:rsidRPr="002853B8">
        <w:rPr>
          <w:rFonts w:ascii="Times New Roman" w:hAnsi="Times New Roman"/>
          <w:sz w:val="28"/>
          <w:szCs w:val="28"/>
        </w:rPr>
        <w:t>Đồng thời, Nghị quyết mới cũng bãi bỏ Nghị quyết số 08/2019/NQ-HĐND ngày 20</w:t>
      </w:r>
      <w:r w:rsidR="00F92C2E">
        <w:rPr>
          <w:rFonts w:ascii="Times New Roman" w:hAnsi="Times New Roman"/>
          <w:sz w:val="28"/>
          <w:szCs w:val="28"/>
        </w:rPr>
        <w:t>/</w:t>
      </w:r>
      <w:r w:rsidRPr="002853B8">
        <w:rPr>
          <w:rFonts w:ascii="Times New Roman" w:hAnsi="Times New Roman"/>
          <w:sz w:val="28"/>
          <w:szCs w:val="28"/>
        </w:rPr>
        <w:t>7</w:t>
      </w:r>
      <w:r w:rsidR="00F92C2E">
        <w:rPr>
          <w:rFonts w:ascii="Times New Roman" w:hAnsi="Times New Roman"/>
          <w:sz w:val="28"/>
          <w:szCs w:val="28"/>
        </w:rPr>
        <w:t>/</w:t>
      </w:r>
      <w:r w:rsidRPr="002853B8">
        <w:rPr>
          <w:rFonts w:ascii="Times New Roman" w:hAnsi="Times New Roman"/>
          <w:sz w:val="28"/>
          <w:szCs w:val="28"/>
        </w:rPr>
        <w:t>2019 của Hội đồng nhân dân tỉnh Quảng Trị.</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II. MỤC ĐÍCH, QUAN ĐIỂM  XÂY DỰNG DỰ THẢO NGHỊ QUYẾT</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1. Mục đích</w:t>
      </w:r>
    </w:p>
    <w:p w:rsidR="002853B8" w:rsidRPr="002853B8" w:rsidRDefault="002853B8" w:rsidP="002853B8">
      <w:pPr>
        <w:widowControl w:val="0"/>
        <w:shd w:val="clear" w:color="auto" w:fill="FFFFFF"/>
        <w:spacing w:before="80" w:line="252" w:lineRule="auto"/>
        <w:ind w:firstLine="567"/>
        <w:jc w:val="both"/>
        <w:rPr>
          <w:rFonts w:ascii="Times New Roman" w:hAnsi="Times New Roman"/>
          <w:iCs/>
          <w:sz w:val="28"/>
          <w:szCs w:val="28"/>
        </w:rPr>
      </w:pPr>
      <w:r w:rsidRPr="002853B8">
        <w:rPr>
          <w:rFonts w:ascii="Times New Roman" w:hAnsi="Times New Roman"/>
          <w:iCs/>
          <w:sz w:val="28"/>
          <w:szCs w:val="28"/>
        </w:rPr>
        <w:t>Việc ban hành Nghị quyết là cơ sở cho các cơ quan, đơn vị có thẩm quyền lập dự toán, chi trả chế độ dinh dưỡng đặc thù đối</w:t>
      </w:r>
      <w:r w:rsidRPr="002853B8">
        <w:rPr>
          <w:rFonts w:ascii="Times New Roman" w:hAnsi="Times New Roman"/>
          <w:sz w:val="28"/>
          <w:szCs w:val="28"/>
          <w:shd w:val="clear" w:color="auto" w:fill="FFFFFF"/>
        </w:rPr>
        <w:t xml:space="preserve"> với huấn luyện viên, vận động viên đội tuyển năng khiếu tỉnh, đội tuyển sở, ngành cấp tỉnh và đội tuyển cấp huyện của tỉnh Quảng Trị trong thời gian tập trung tập huấn, thi đấu tại các giải thể thao thành tích cao, </w:t>
      </w:r>
      <w:r w:rsidRPr="002853B8">
        <w:rPr>
          <w:rFonts w:ascii="Times New Roman" w:hAnsi="Times New Roman"/>
          <w:iCs/>
          <w:sz w:val="28"/>
          <w:szCs w:val="28"/>
        </w:rPr>
        <w:t>kịp thời động viên, phát hiện các tài năng, phát triển thể thao thành tích cao của tỉnh nhà.</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2. Quan điểm xây dựng dự thảo Nghị quyết</w:t>
      </w:r>
    </w:p>
    <w:p w:rsidR="002853B8" w:rsidRPr="002853B8" w:rsidRDefault="002853B8" w:rsidP="002853B8">
      <w:pPr>
        <w:widowControl w:val="0"/>
        <w:tabs>
          <w:tab w:val="center" w:pos="1843"/>
          <w:tab w:val="center" w:pos="6431"/>
        </w:tabs>
        <w:spacing w:before="80" w:line="252" w:lineRule="auto"/>
        <w:ind w:firstLine="567"/>
        <w:jc w:val="both"/>
        <w:rPr>
          <w:rFonts w:ascii="Times New Roman" w:hAnsi="Times New Roman"/>
          <w:iCs/>
          <w:sz w:val="28"/>
          <w:szCs w:val="28"/>
        </w:rPr>
      </w:pPr>
      <w:r w:rsidRPr="002853B8">
        <w:rPr>
          <w:rFonts w:ascii="Times New Roman" w:hAnsi="Times New Roman"/>
          <w:sz w:val="28"/>
          <w:szCs w:val="28"/>
          <w:shd w:val="clear" w:color="auto" w:fill="FFFFFF"/>
        </w:rPr>
        <w:t xml:space="preserve">- Quy định chế độ dinh dưỡng đặc thù đối với huấn luyện viên, vận động viên đội tuyển năng khiếu tỉnh, đội tuyển sở, ngành cấp tỉnh và đội tuyển cấp huyện của tỉnh Quảng Trị trong thời gian tập trung tập huấn, thi đấu tại các giải thể thao thành tích cao </w:t>
      </w:r>
      <w:r w:rsidRPr="002853B8">
        <w:rPr>
          <w:rFonts w:ascii="Times New Roman" w:hAnsi="Times New Roman"/>
          <w:iCs/>
          <w:sz w:val="28"/>
          <w:szCs w:val="28"/>
        </w:rPr>
        <w:t xml:space="preserve">phải đảm bảo phù hợp với quy định của Luật ngân sách nhà nước và các quy định hiện hành, phù hợp với tình hình thực tế và khả năng cân đối ngân sách của địa phương, dự toán được cấp có thẩm quyền giao hàng năm cho các cơ quan, đơn vị, địa phương. </w:t>
      </w:r>
    </w:p>
    <w:p w:rsidR="002853B8" w:rsidRPr="002853B8" w:rsidRDefault="002853B8" w:rsidP="002853B8">
      <w:pPr>
        <w:widowControl w:val="0"/>
        <w:spacing w:before="80" w:line="252" w:lineRule="auto"/>
        <w:ind w:firstLine="567"/>
        <w:jc w:val="both"/>
        <w:rPr>
          <w:rFonts w:ascii="Times New Roman" w:hAnsi="Times New Roman"/>
          <w:iCs/>
          <w:sz w:val="28"/>
          <w:szCs w:val="28"/>
        </w:rPr>
      </w:pPr>
      <w:r w:rsidRPr="002853B8">
        <w:rPr>
          <w:rFonts w:ascii="Times New Roman" w:hAnsi="Times New Roman"/>
          <w:iCs/>
          <w:sz w:val="28"/>
          <w:szCs w:val="28"/>
        </w:rPr>
        <w:t>- Quá trình xây dựng Nghị quyết tuân thủ chặt chẽ các trình tự, thủ tục quy định tại Luật Ban hành văn bản quy phạm pháp luật; quy định đảm bảo tính khả thi khi ban hành.</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 xml:space="preserve">III. QUÁ TRÌNH XÂY DỰNG DỰ THẢO NGHỊ QUYẾT </w:t>
      </w:r>
    </w:p>
    <w:p w:rsidR="002853B8" w:rsidRPr="002853B8" w:rsidRDefault="002853B8" w:rsidP="00F92C2E">
      <w:pPr>
        <w:pStyle w:val="NormalWeb"/>
        <w:widowControl w:val="0"/>
        <w:spacing w:before="80" w:beforeAutospacing="0" w:after="0" w:afterAutospacing="0" w:line="252" w:lineRule="auto"/>
        <w:ind w:firstLine="567"/>
        <w:jc w:val="both"/>
        <w:rPr>
          <w:sz w:val="28"/>
          <w:szCs w:val="28"/>
        </w:rPr>
      </w:pPr>
      <w:r w:rsidRPr="002853B8">
        <w:rPr>
          <w:sz w:val="28"/>
          <w:szCs w:val="28"/>
        </w:rPr>
        <w:t xml:space="preserve">Trên cơ sở kết quả rà soát văn bản quy phạm pháp luật hằng năm, UBND tỉnh đã giao Sở Văn hóa, Thể thao và Du lịch chủ trì xây dựng dự thảo Nghị quyết </w:t>
      </w:r>
      <w:r w:rsidRPr="002853B8">
        <w:rPr>
          <w:sz w:val="28"/>
          <w:szCs w:val="28"/>
        </w:rPr>
        <w:lastRenderedPageBreak/>
        <w:t>Quy định chế độ dinh dưỡng đặc thù đối với huấn luyện viên, vận động viên đội tuyển năng khiếu tỉnh, đội tuyển sở, ngành cấp tỉnh và đội tuyển cấp huyện của tỉnh Quảng Trị trong thời gian tập trung tập huấn, thi đấu tại các giải thể thao thành tích cao. Sở Văn hóa, Thể thao và Du lịch đã tổ chức xây dựng dự thảo Nghị quyết, lấy ý kiến của các cơ quan, đơn vị có liên quan (Công văn số 830/SVHTTDL-TDTT ngày 17 tháng 5 năm 2023). Kết quả, có 10 ý kiến tham gia, trong đó 09 ý kiến đồng ý với dự thảo, 01 ý kiến góp ý. Sở Văn hóa, Thể thao và Du lịch đã tổng hợp, tiếp thu, giải trình ý kiến góp ý và hoàn thiện dự thảo Nghị quyết gửi Sở Tư pháp thẩm định Dự thảo Nghị quyết (Công văn số 959/SVHTTDL-TDTT ngày 07/6/2023).</w:t>
      </w:r>
    </w:p>
    <w:p w:rsidR="002853B8" w:rsidRPr="002853B8" w:rsidRDefault="002853B8" w:rsidP="00F92C2E">
      <w:pPr>
        <w:pStyle w:val="NormalWeb"/>
        <w:widowControl w:val="0"/>
        <w:spacing w:before="80" w:beforeAutospacing="0" w:after="0" w:afterAutospacing="0" w:line="252" w:lineRule="auto"/>
        <w:ind w:firstLine="567"/>
        <w:jc w:val="both"/>
        <w:rPr>
          <w:sz w:val="28"/>
          <w:szCs w:val="28"/>
        </w:rPr>
      </w:pPr>
      <w:r w:rsidRPr="002853B8">
        <w:rPr>
          <w:sz w:val="28"/>
          <w:szCs w:val="28"/>
        </w:rPr>
        <w:t>Trên cơ sở Báo cáo thẩm định văn bản quy phạm pháp luật số 1102/BC-STP của Sở Tư pháp về báo cáo thẩm định dự thảo văn bản quy phạm pháp luật, Sở Văn hóa, Thể thao và Du lịch đã tiếp thu, giải trình ý kiến thẩm định của Sở Tư pháp, hoàn thiện dự thảo Nghị quyết và trình UBND tỉnh xem xét (Tờ trình số 64/TTr-SVHTTDL ngày 15/6/2023).</w:t>
      </w:r>
    </w:p>
    <w:p w:rsidR="002853B8" w:rsidRPr="002853B8" w:rsidRDefault="002853B8" w:rsidP="00F92C2E">
      <w:pPr>
        <w:pStyle w:val="NormalWeb"/>
        <w:widowControl w:val="0"/>
        <w:spacing w:before="80" w:beforeAutospacing="0" w:after="0" w:afterAutospacing="0" w:line="252" w:lineRule="auto"/>
        <w:ind w:firstLine="567"/>
        <w:jc w:val="both"/>
        <w:rPr>
          <w:sz w:val="28"/>
          <w:szCs w:val="28"/>
        </w:rPr>
      </w:pPr>
      <w:r w:rsidRPr="002853B8">
        <w:rPr>
          <w:sz w:val="28"/>
          <w:szCs w:val="28"/>
        </w:rPr>
        <w:t>Ủy ban nhân dân tỉnh đã tổ chức lấy ý kiến của các thành viên Ủy ban theo quy định, hoàn thiện dự thảo Nghị quyết, trình Hội đồng nhân dân tỉnh.</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IV. BỐ CỤC VÀ NỘI DUNG CƠ BẢN CỦA DỰ THẢO NGHỊ QUYẾT</w:t>
      </w:r>
    </w:p>
    <w:p w:rsidR="002853B8" w:rsidRPr="002853B8" w:rsidRDefault="002853B8" w:rsidP="002853B8">
      <w:pPr>
        <w:widowControl w:val="0"/>
        <w:spacing w:before="80" w:line="252" w:lineRule="auto"/>
        <w:ind w:firstLine="567"/>
        <w:jc w:val="both"/>
        <w:rPr>
          <w:rFonts w:ascii="Times New Roman" w:hAnsi="Times New Roman"/>
          <w:b/>
          <w:iCs/>
          <w:sz w:val="28"/>
          <w:szCs w:val="28"/>
        </w:rPr>
      </w:pPr>
      <w:r w:rsidRPr="002853B8">
        <w:rPr>
          <w:rFonts w:ascii="Times New Roman" w:hAnsi="Times New Roman"/>
          <w:b/>
          <w:iCs/>
          <w:sz w:val="28"/>
          <w:szCs w:val="28"/>
        </w:rPr>
        <w:t>1. Bố cục</w:t>
      </w:r>
    </w:p>
    <w:p w:rsidR="002853B8" w:rsidRPr="002853B8" w:rsidRDefault="002853B8" w:rsidP="002853B8">
      <w:pPr>
        <w:widowControl w:val="0"/>
        <w:spacing w:before="80" w:line="252" w:lineRule="auto"/>
        <w:ind w:firstLine="567"/>
        <w:jc w:val="both"/>
        <w:rPr>
          <w:rFonts w:ascii="Times New Roman" w:hAnsi="Times New Roman"/>
          <w:iCs/>
          <w:sz w:val="28"/>
          <w:szCs w:val="28"/>
        </w:rPr>
      </w:pPr>
      <w:bookmarkStart w:id="0" w:name="_Hlk46149533"/>
      <w:r w:rsidRPr="002853B8">
        <w:rPr>
          <w:rFonts w:ascii="Times New Roman" w:hAnsi="Times New Roman"/>
          <w:iCs/>
          <w:sz w:val="28"/>
          <w:szCs w:val="28"/>
        </w:rPr>
        <w:t>Dự thảo Nghị quyết gồm 05 điều:</w:t>
      </w:r>
    </w:p>
    <w:p w:rsidR="002853B8" w:rsidRPr="002853B8" w:rsidRDefault="002853B8" w:rsidP="002853B8">
      <w:pPr>
        <w:widowControl w:val="0"/>
        <w:spacing w:before="80" w:line="252" w:lineRule="auto"/>
        <w:ind w:firstLine="567"/>
        <w:jc w:val="both"/>
        <w:rPr>
          <w:rFonts w:ascii="Times New Roman" w:hAnsi="Times New Roman"/>
          <w:sz w:val="28"/>
          <w:szCs w:val="28"/>
          <w:lang w:val="nl-NL"/>
        </w:rPr>
      </w:pPr>
      <w:bookmarkStart w:id="1" w:name="_Hlk46151217"/>
      <w:r w:rsidRPr="002853B8">
        <w:rPr>
          <w:rFonts w:ascii="Times New Roman" w:hAnsi="Times New Roman"/>
          <w:sz w:val="28"/>
          <w:szCs w:val="28"/>
          <w:lang w:val="nl-NL"/>
        </w:rPr>
        <w:t>Điều 1. Phạm vi điều chỉnh</w:t>
      </w:r>
    </w:p>
    <w:p w:rsidR="002853B8" w:rsidRPr="002853B8" w:rsidRDefault="002853B8" w:rsidP="002853B8">
      <w:pPr>
        <w:widowControl w:val="0"/>
        <w:spacing w:before="80" w:line="252" w:lineRule="auto"/>
        <w:ind w:firstLine="567"/>
        <w:jc w:val="both"/>
        <w:rPr>
          <w:rFonts w:ascii="Times New Roman" w:hAnsi="Times New Roman"/>
          <w:sz w:val="28"/>
          <w:szCs w:val="28"/>
          <w:lang w:val="nl-NL"/>
        </w:rPr>
      </w:pPr>
      <w:r w:rsidRPr="002853B8">
        <w:rPr>
          <w:rFonts w:ascii="Times New Roman" w:hAnsi="Times New Roman"/>
          <w:sz w:val="28"/>
          <w:szCs w:val="28"/>
          <w:lang w:val="nl-NL"/>
        </w:rPr>
        <w:t>Điều 2. Đối tượng áp dụng</w:t>
      </w:r>
    </w:p>
    <w:p w:rsidR="002853B8" w:rsidRPr="002853B8" w:rsidRDefault="002853B8" w:rsidP="002853B8">
      <w:pPr>
        <w:widowControl w:val="0"/>
        <w:spacing w:before="80" w:line="252" w:lineRule="auto"/>
        <w:ind w:firstLine="567"/>
        <w:jc w:val="both"/>
        <w:rPr>
          <w:rFonts w:ascii="Times New Roman" w:hAnsi="Times New Roman"/>
          <w:sz w:val="28"/>
          <w:szCs w:val="28"/>
          <w:lang w:val="nl-NL"/>
        </w:rPr>
      </w:pPr>
      <w:r w:rsidRPr="002853B8">
        <w:rPr>
          <w:rFonts w:ascii="Times New Roman" w:hAnsi="Times New Roman"/>
          <w:sz w:val="28"/>
          <w:szCs w:val="28"/>
          <w:lang w:val="nl-NL"/>
        </w:rPr>
        <w:t>Điều 3. Nội dung và mức chi thực hiện chế độ dinh dưỡng</w:t>
      </w:r>
    </w:p>
    <w:bookmarkEnd w:id="1"/>
    <w:p w:rsidR="002853B8" w:rsidRPr="002853B8" w:rsidRDefault="002853B8" w:rsidP="002853B8">
      <w:pPr>
        <w:widowControl w:val="0"/>
        <w:spacing w:before="80" w:line="252" w:lineRule="auto"/>
        <w:ind w:firstLine="567"/>
        <w:jc w:val="both"/>
        <w:rPr>
          <w:rFonts w:ascii="Times New Roman" w:hAnsi="Times New Roman"/>
          <w:sz w:val="28"/>
          <w:szCs w:val="28"/>
          <w:lang w:val="nl-NL"/>
        </w:rPr>
      </w:pPr>
      <w:r w:rsidRPr="002853B8">
        <w:rPr>
          <w:rFonts w:ascii="Times New Roman" w:hAnsi="Times New Roman"/>
          <w:sz w:val="28"/>
          <w:szCs w:val="28"/>
          <w:lang w:val="nl-NL"/>
        </w:rPr>
        <w:t>Điều 4. Kinh phí thực hiện</w:t>
      </w:r>
    </w:p>
    <w:p w:rsidR="002853B8" w:rsidRPr="002853B8" w:rsidRDefault="002853B8" w:rsidP="002853B8">
      <w:pPr>
        <w:widowControl w:val="0"/>
        <w:spacing w:before="80" w:line="252" w:lineRule="auto"/>
        <w:ind w:firstLine="567"/>
        <w:jc w:val="both"/>
        <w:rPr>
          <w:rFonts w:ascii="Times New Roman" w:hAnsi="Times New Roman"/>
          <w:sz w:val="28"/>
          <w:szCs w:val="28"/>
          <w:lang w:val="nl-NL"/>
        </w:rPr>
      </w:pPr>
      <w:r w:rsidRPr="002853B8">
        <w:rPr>
          <w:rFonts w:ascii="Times New Roman" w:hAnsi="Times New Roman"/>
          <w:sz w:val="28"/>
          <w:szCs w:val="28"/>
          <w:lang w:val="nl-NL"/>
        </w:rPr>
        <w:t>Điều 5. Điều khoản thi hành</w:t>
      </w:r>
    </w:p>
    <w:bookmarkEnd w:id="0"/>
    <w:p w:rsidR="002853B8" w:rsidRPr="002853B8" w:rsidRDefault="002853B8" w:rsidP="002853B8">
      <w:pPr>
        <w:widowControl w:val="0"/>
        <w:spacing w:before="80" w:line="252" w:lineRule="auto"/>
        <w:ind w:firstLine="567"/>
        <w:jc w:val="both"/>
        <w:rPr>
          <w:rFonts w:ascii="Times New Roman" w:hAnsi="Times New Roman"/>
          <w:b/>
          <w:bCs/>
          <w:iCs/>
          <w:sz w:val="28"/>
          <w:szCs w:val="28"/>
          <w:lang w:val="nl-NL"/>
        </w:rPr>
      </w:pPr>
      <w:r w:rsidRPr="002853B8">
        <w:rPr>
          <w:rFonts w:ascii="Times New Roman" w:hAnsi="Times New Roman"/>
          <w:b/>
          <w:bCs/>
          <w:iCs/>
          <w:sz w:val="28"/>
          <w:szCs w:val="28"/>
          <w:lang w:val="nl-NL"/>
        </w:rPr>
        <w:t>2. Nội dung cơ bản của dự thảo văn bản</w:t>
      </w:r>
    </w:p>
    <w:p w:rsidR="002853B8" w:rsidRPr="002853B8" w:rsidRDefault="002853B8" w:rsidP="002853B8">
      <w:pPr>
        <w:widowControl w:val="0"/>
        <w:spacing w:before="80" w:line="252" w:lineRule="auto"/>
        <w:ind w:firstLine="567"/>
        <w:jc w:val="both"/>
        <w:rPr>
          <w:rFonts w:ascii="Times New Roman" w:hAnsi="Times New Roman"/>
          <w:iCs/>
          <w:sz w:val="28"/>
          <w:szCs w:val="28"/>
          <w:lang w:val="nl-NL"/>
        </w:rPr>
      </w:pPr>
      <w:r w:rsidRPr="002853B8">
        <w:rPr>
          <w:rFonts w:ascii="Times New Roman" w:hAnsi="Times New Roman"/>
          <w:iCs/>
          <w:sz w:val="28"/>
          <w:szCs w:val="28"/>
          <w:lang w:val="nl-NL"/>
        </w:rPr>
        <w:t>Quy định chế độ dinh dưỡng đặc thù đối với huấn luyện viên, vận động viên đội tuyển năng khiếu tỉnh, đội tuyển sở, ngành cấp tỉnh và đội tuyển cấp huyện của tỉnh Quảng Trị trong thời gian tập trung tập huấn, thi đấu tại các giải thể thao thành tích cao, cụ thể như sau:</w:t>
      </w:r>
    </w:p>
    <w:p w:rsidR="002853B8" w:rsidRPr="002853B8" w:rsidRDefault="002853B8" w:rsidP="002853B8">
      <w:pPr>
        <w:widowControl w:val="0"/>
        <w:spacing w:before="80" w:line="252" w:lineRule="auto"/>
        <w:ind w:firstLine="567"/>
        <w:jc w:val="both"/>
        <w:rPr>
          <w:rFonts w:ascii="Times New Roman" w:hAnsi="Times New Roman"/>
          <w:iCs/>
          <w:sz w:val="28"/>
          <w:szCs w:val="28"/>
          <w:lang w:val="nl-NL"/>
        </w:rPr>
      </w:pPr>
      <w:r w:rsidRPr="002853B8">
        <w:rPr>
          <w:rFonts w:ascii="Times New Roman" w:hAnsi="Times New Roman"/>
          <w:iCs/>
          <w:sz w:val="28"/>
          <w:szCs w:val="28"/>
          <w:lang w:val="nl-NL"/>
        </w:rPr>
        <w:t>- Huấn luyện viên, vận động viên theo quy định tại khoản 1 Điều 2 (dự thảo Nghị quyết) được hưởng mức ăn hằng ngày bằng 125.000 đồng/người/ngày trong thời gian tập trung tập huấn.</w:t>
      </w:r>
    </w:p>
    <w:p w:rsidR="002853B8" w:rsidRPr="002853B8" w:rsidRDefault="002853B8" w:rsidP="002853B8">
      <w:pPr>
        <w:widowControl w:val="0"/>
        <w:spacing w:before="80" w:line="252" w:lineRule="auto"/>
        <w:ind w:firstLine="567"/>
        <w:jc w:val="both"/>
        <w:rPr>
          <w:rFonts w:ascii="Times New Roman" w:hAnsi="Times New Roman"/>
          <w:iCs/>
          <w:sz w:val="28"/>
          <w:szCs w:val="28"/>
          <w:lang w:val="nl-NL"/>
        </w:rPr>
      </w:pPr>
      <w:r w:rsidRPr="002853B8">
        <w:rPr>
          <w:rFonts w:ascii="Times New Roman" w:hAnsi="Times New Roman"/>
          <w:iCs/>
          <w:sz w:val="28"/>
          <w:szCs w:val="28"/>
          <w:lang w:val="nl-NL"/>
        </w:rPr>
        <w:t>- Huấn luyện viên, vận động viên theo quy định tại khoản 1 Điều 2 (dự thảo Nghị quyết)  được hưởng mức ăn hằng ngày bằng 175.000 đồng/người/ngày trong thời gian tập trung thi đấu.</w:t>
      </w:r>
    </w:p>
    <w:p w:rsidR="002853B8" w:rsidRPr="002853B8" w:rsidRDefault="002853B8" w:rsidP="002853B8">
      <w:pPr>
        <w:widowControl w:val="0"/>
        <w:spacing w:before="80" w:line="252" w:lineRule="auto"/>
        <w:ind w:firstLine="567"/>
        <w:jc w:val="both"/>
        <w:rPr>
          <w:rFonts w:ascii="Times New Roman" w:hAnsi="Times New Roman"/>
          <w:iCs/>
          <w:sz w:val="28"/>
          <w:szCs w:val="28"/>
          <w:lang w:val="nl-NL"/>
        </w:rPr>
      </w:pPr>
      <w:r w:rsidRPr="002853B8">
        <w:rPr>
          <w:rFonts w:ascii="Times New Roman" w:hAnsi="Times New Roman"/>
          <w:iCs/>
          <w:sz w:val="28"/>
          <w:szCs w:val="28"/>
          <w:lang w:val="nl-NL"/>
        </w:rPr>
        <w:t>- Huấn luyện viên, vận động viên thể thao người khuyết tật cấp tỉnh khi được cấp có thẩm quyền triệu tập tập huấn, thi đấu theo quy định tại khoản 1 Điều 2 (dự thảo Nghị quyết) được thực hiện mức chi chế độ dinh dưỡng đối với các quy định tại khoản 1 và khoản 2 Điều này.</w:t>
      </w:r>
    </w:p>
    <w:p w:rsidR="002853B8" w:rsidRPr="002853B8" w:rsidRDefault="002853B8" w:rsidP="002853B8">
      <w:pPr>
        <w:widowControl w:val="0"/>
        <w:spacing w:before="80" w:line="252" w:lineRule="auto"/>
        <w:ind w:firstLine="567"/>
        <w:jc w:val="both"/>
        <w:rPr>
          <w:rFonts w:ascii="Times New Roman" w:hAnsi="Times New Roman"/>
          <w:iCs/>
          <w:sz w:val="28"/>
          <w:szCs w:val="28"/>
          <w:lang w:val="nl-NL"/>
        </w:rPr>
      </w:pPr>
      <w:r w:rsidRPr="002853B8">
        <w:rPr>
          <w:rFonts w:ascii="Times New Roman" w:hAnsi="Times New Roman"/>
          <w:iCs/>
          <w:sz w:val="28"/>
          <w:szCs w:val="28"/>
          <w:lang w:val="nl-NL"/>
        </w:rPr>
        <w:lastRenderedPageBreak/>
        <w:t>- Huấn luyện viên, vận động viên đã hưởng chế độ dinh dưỡng của cấp trên theo quy định thì không được hưởng chế độ theo quy định tại Nghị quyết này.</w:t>
      </w:r>
    </w:p>
    <w:p w:rsidR="002853B8" w:rsidRPr="002853B8" w:rsidRDefault="002853B8" w:rsidP="002853B8">
      <w:pPr>
        <w:widowControl w:val="0"/>
        <w:spacing w:before="80" w:line="252" w:lineRule="auto"/>
        <w:ind w:firstLine="567"/>
        <w:jc w:val="both"/>
        <w:rPr>
          <w:rFonts w:ascii="Times New Roman" w:hAnsi="Times New Roman"/>
          <w:bCs/>
          <w:i/>
          <w:sz w:val="28"/>
          <w:szCs w:val="28"/>
          <w:lang w:val="nl-NL"/>
        </w:rPr>
      </w:pPr>
      <w:r w:rsidRPr="002853B8">
        <w:rPr>
          <w:rFonts w:ascii="Times New Roman" w:hAnsi="Times New Roman"/>
          <w:b/>
          <w:iCs/>
          <w:sz w:val="28"/>
          <w:szCs w:val="28"/>
          <w:lang w:val="nl-NL"/>
        </w:rPr>
        <w:t xml:space="preserve">V. NHỮNG VẤN ĐỀ XIN Ý KIẾN (NẾU CÓ): </w:t>
      </w:r>
      <w:r w:rsidRPr="002853B8">
        <w:rPr>
          <w:rFonts w:ascii="Times New Roman" w:hAnsi="Times New Roman"/>
          <w:bCs/>
          <w:sz w:val="28"/>
          <w:szCs w:val="28"/>
          <w:lang w:val="nl-NL"/>
        </w:rPr>
        <w:t>Không có.</w:t>
      </w:r>
    </w:p>
    <w:p w:rsidR="002853B8" w:rsidRPr="002853B8" w:rsidRDefault="002853B8" w:rsidP="002853B8">
      <w:pPr>
        <w:spacing w:before="60" w:after="60" w:line="252" w:lineRule="auto"/>
        <w:ind w:firstLine="567"/>
        <w:jc w:val="both"/>
        <w:rPr>
          <w:rFonts w:ascii="Times New Roman" w:hAnsi="Times New Roman"/>
          <w:sz w:val="28"/>
        </w:rPr>
      </w:pPr>
      <w:r w:rsidRPr="002853B8">
        <w:rPr>
          <w:rFonts w:ascii="Times New Roman" w:hAnsi="Times New Roman"/>
          <w:sz w:val="28"/>
        </w:rPr>
        <w:t>Ủy ban nhân dân tỉnh kính trình Hội đồng nhân dân tỉnh Khóa VIII, Kỳ họp thứ 18 xem xét, quyết định.</w:t>
      </w:r>
    </w:p>
    <w:p w:rsidR="002853B8" w:rsidRPr="002853B8" w:rsidRDefault="002853B8" w:rsidP="002853B8">
      <w:pPr>
        <w:widowControl w:val="0"/>
        <w:spacing w:before="80" w:line="252" w:lineRule="auto"/>
        <w:ind w:firstLine="567"/>
        <w:jc w:val="both"/>
        <w:rPr>
          <w:rFonts w:ascii="Times New Roman" w:hAnsi="Times New Roman"/>
          <w:i/>
          <w:iCs/>
          <w:sz w:val="28"/>
          <w:szCs w:val="28"/>
          <w:lang w:val="nl-NL"/>
        </w:rPr>
      </w:pPr>
      <w:r w:rsidRPr="002853B8">
        <w:rPr>
          <w:rFonts w:ascii="Times New Roman" w:hAnsi="Times New Roman"/>
          <w:i/>
          <w:iCs/>
          <w:sz w:val="28"/>
          <w:szCs w:val="28"/>
          <w:lang w:val="nl-NL"/>
        </w:rPr>
        <w:t>(Xin gửi kèm theo:</w:t>
      </w:r>
    </w:p>
    <w:p w:rsidR="002853B8" w:rsidRPr="002853B8" w:rsidRDefault="002853B8" w:rsidP="002853B8">
      <w:pPr>
        <w:spacing w:before="60" w:after="60" w:line="252" w:lineRule="auto"/>
        <w:ind w:firstLine="567"/>
        <w:jc w:val="both"/>
        <w:rPr>
          <w:rFonts w:ascii="Times New Roman" w:hAnsi="Times New Roman"/>
          <w:i/>
          <w:spacing w:val="-4"/>
          <w:sz w:val="28"/>
        </w:rPr>
      </w:pPr>
      <w:r w:rsidRPr="002853B8">
        <w:rPr>
          <w:rFonts w:ascii="Times New Roman" w:hAnsi="Times New Roman"/>
          <w:i/>
          <w:spacing w:val="-4"/>
          <w:sz w:val="28"/>
        </w:rPr>
        <w:t>- Dự thảo Nghị quyết của Hội đồng nhân dân tỉnh;</w:t>
      </w:r>
    </w:p>
    <w:p w:rsidR="002853B8" w:rsidRPr="002853B8" w:rsidRDefault="002853B8" w:rsidP="002853B8">
      <w:pPr>
        <w:widowControl w:val="0"/>
        <w:spacing w:before="80" w:line="252" w:lineRule="auto"/>
        <w:ind w:firstLine="567"/>
        <w:jc w:val="both"/>
        <w:rPr>
          <w:rFonts w:ascii="Times New Roman" w:hAnsi="Times New Roman"/>
          <w:i/>
          <w:iCs/>
          <w:sz w:val="28"/>
          <w:szCs w:val="28"/>
          <w:lang w:val="nl-NL"/>
        </w:rPr>
      </w:pPr>
      <w:r w:rsidRPr="002853B8">
        <w:rPr>
          <w:rFonts w:ascii="Times New Roman" w:hAnsi="Times New Roman"/>
          <w:i/>
          <w:iCs/>
          <w:sz w:val="28"/>
          <w:szCs w:val="28"/>
          <w:lang w:val="nl-NL"/>
        </w:rPr>
        <w:t>- Báo cáo thẩm định của Sở Tư pháp;</w:t>
      </w:r>
    </w:p>
    <w:p w:rsidR="002853B8" w:rsidRPr="002853B8" w:rsidRDefault="002853B8" w:rsidP="002853B8">
      <w:pPr>
        <w:spacing w:before="60" w:after="60" w:line="252" w:lineRule="auto"/>
        <w:ind w:firstLine="567"/>
        <w:jc w:val="both"/>
        <w:rPr>
          <w:rFonts w:ascii="Times New Roman" w:hAnsi="Times New Roman"/>
          <w:i/>
          <w:spacing w:val="-4"/>
          <w:sz w:val="28"/>
        </w:rPr>
      </w:pPr>
      <w:r w:rsidRPr="002853B8">
        <w:rPr>
          <w:rFonts w:ascii="Times New Roman" w:hAnsi="Times New Roman"/>
          <w:i/>
          <w:spacing w:val="-4"/>
          <w:sz w:val="28"/>
        </w:rPr>
        <w:t>- Tờ trình và Báo cáo của Sở Văn hóa, Thể thao và Du lịch về sự cần thiết xây dựng Nghị quyết Quy định chế độ dinh dưỡng đặc thù đối với huấn luyện viên, vận động viên thuộc đội tuyển năng khiếu tỉnh và các đội tuyển cấp huyện đang tập trung tập huấn, thi đấu các giải thể thao của tỉnh Quảng Trị</w:t>
      </w:r>
    </w:p>
    <w:p w:rsidR="002853B8" w:rsidRPr="002853B8" w:rsidRDefault="002853B8" w:rsidP="002853B8">
      <w:pPr>
        <w:widowControl w:val="0"/>
        <w:spacing w:before="80" w:line="252" w:lineRule="auto"/>
        <w:ind w:firstLine="567"/>
        <w:jc w:val="both"/>
        <w:rPr>
          <w:rFonts w:ascii="Times New Roman" w:hAnsi="Times New Roman"/>
          <w:i/>
          <w:iCs/>
          <w:sz w:val="28"/>
          <w:szCs w:val="28"/>
          <w:lang w:val="nl-NL"/>
        </w:rPr>
      </w:pPr>
      <w:r w:rsidRPr="002853B8">
        <w:rPr>
          <w:rFonts w:ascii="Times New Roman" w:hAnsi="Times New Roman"/>
          <w:i/>
          <w:iCs/>
          <w:sz w:val="28"/>
          <w:szCs w:val="28"/>
          <w:lang w:val="nl-NL"/>
        </w:rPr>
        <w:t xml:space="preserve">- Báo cáo </w:t>
      </w:r>
      <w:r w:rsidRPr="002853B8">
        <w:rPr>
          <w:rFonts w:ascii="Times New Roman" w:hAnsi="Times New Roman"/>
          <w:i/>
          <w:spacing w:val="-4"/>
          <w:sz w:val="28"/>
        </w:rPr>
        <w:t>của Sở Văn hóa, Thể thao và Du lịch</w:t>
      </w:r>
      <w:r w:rsidRPr="002853B8">
        <w:rPr>
          <w:rFonts w:ascii="Times New Roman" w:hAnsi="Times New Roman"/>
          <w:i/>
          <w:iCs/>
          <w:sz w:val="28"/>
          <w:szCs w:val="28"/>
          <w:lang w:val="nl-NL"/>
        </w:rPr>
        <w:t xml:space="preserve"> về tổng hợp, giải trình, tiếp thu ý kiến tham gia góp ý của sở, ban ngành, UBND các huyện, thị thành phố;</w:t>
      </w:r>
    </w:p>
    <w:p w:rsidR="002853B8" w:rsidRPr="002853B8" w:rsidRDefault="002853B8" w:rsidP="002853B8">
      <w:pPr>
        <w:spacing w:before="60" w:after="60" w:line="252" w:lineRule="auto"/>
        <w:ind w:firstLine="567"/>
        <w:jc w:val="both"/>
        <w:rPr>
          <w:rFonts w:ascii="Times New Roman" w:hAnsi="Times New Roman"/>
          <w:i/>
          <w:spacing w:val="-4"/>
          <w:sz w:val="28"/>
        </w:rPr>
      </w:pPr>
      <w:r w:rsidRPr="002853B8">
        <w:rPr>
          <w:rFonts w:ascii="Times New Roman" w:hAnsi="Times New Roman"/>
          <w:i/>
          <w:spacing w:val="-4"/>
          <w:sz w:val="28"/>
        </w:rPr>
        <w:t>- Văn bản góp ý của UBMTTQVN tỉnh và các Sở, ban, ngành, địa phương;</w:t>
      </w:r>
    </w:p>
    <w:p w:rsidR="002853B8" w:rsidRPr="002853B8" w:rsidRDefault="002853B8" w:rsidP="002853B8">
      <w:pPr>
        <w:spacing w:before="60" w:after="60" w:line="252" w:lineRule="auto"/>
        <w:ind w:firstLine="567"/>
        <w:jc w:val="both"/>
        <w:rPr>
          <w:rFonts w:ascii="Times New Roman" w:hAnsi="Times New Roman"/>
          <w:i/>
          <w:spacing w:val="-4"/>
          <w:sz w:val="28"/>
        </w:rPr>
      </w:pPr>
      <w:r w:rsidRPr="002853B8">
        <w:rPr>
          <w:rFonts w:ascii="Times New Roman" w:hAnsi="Times New Roman"/>
          <w:i/>
          <w:spacing w:val="-4"/>
          <w:sz w:val="28"/>
        </w:rPr>
        <w:t>- Báo cáo tổng hợp, tiếp thu</w:t>
      </w:r>
      <w:r w:rsidRPr="002853B8">
        <w:rPr>
          <w:rFonts w:ascii="Times New Roman" w:hAnsi="Times New Roman"/>
          <w:i/>
          <w:sz w:val="28"/>
        </w:rPr>
        <w:t>, giải trình góp ý về sự cần thiết ban hành Dự thảo Văn bản</w:t>
      </w:r>
      <w:r w:rsidRPr="002853B8">
        <w:rPr>
          <w:rFonts w:ascii="Times New Roman" w:hAnsi="Times New Roman"/>
          <w:i/>
          <w:spacing w:val="-4"/>
          <w:sz w:val="28"/>
        </w:rPr>
        <w:t>)./.</w:t>
      </w:r>
    </w:p>
    <w:p w:rsidR="002853B8" w:rsidRPr="002853B8" w:rsidRDefault="002853B8" w:rsidP="002853B8">
      <w:pPr>
        <w:widowControl w:val="0"/>
        <w:spacing w:before="80" w:after="100" w:afterAutospacing="1" w:line="252" w:lineRule="auto"/>
        <w:ind w:firstLine="567"/>
        <w:jc w:val="both"/>
        <w:rPr>
          <w:rFonts w:ascii="Times New Roman" w:hAnsi="Times New Roman"/>
          <w:i/>
          <w:iCs/>
          <w:sz w:val="28"/>
          <w:szCs w:val="28"/>
          <w:lang w:val="nl-NL"/>
        </w:rPr>
      </w:pPr>
    </w:p>
    <w:tbl>
      <w:tblPr>
        <w:tblW w:w="9085" w:type="dxa"/>
        <w:tblInd w:w="108" w:type="dxa"/>
        <w:tblCellMar>
          <w:left w:w="0" w:type="dxa"/>
          <w:right w:w="0" w:type="dxa"/>
        </w:tblCellMar>
        <w:tblLook w:val="0000" w:firstRow="0" w:lastRow="0" w:firstColumn="0" w:lastColumn="0" w:noHBand="0" w:noVBand="0"/>
      </w:tblPr>
      <w:tblGrid>
        <w:gridCol w:w="4620"/>
        <w:gridCol w:w="4465"/>
      </w:tblGrid>
      <w:tr w:rsidR="00EF4357" w:rsidRPr="00B80FE4" w:rsidTr="0052739A">
        <w:tc>
          <w:tcPr>
            <w:tcW w:w="4620" w:type="dxa"/>
            <w:tcMar>
              <w:top w:w="0" w:type="dxa"/>
              <w:left w:w="108" w:type="dxa"/>
              <w:bottom w:w="0" w:type="dxa"/>
              <w:right w:w="108" w:type="dxa"/>
            </w:tcMar>
          </w:tcPr>
          <w:p w:rsidR="00EF4357" w:rsidRPr="00B80FE4" w:rsidRDefault="00EF4357" w:rsidP="0052739A">
            <w:pPr>
              <w:pStyle w:val="BodyTextIndent2"/>
              <w:spacing w:before="0"/>
              <w:ind w:hanging="108"/>
              <w:rPr>
                <w:rFonts w:ascii="Times New Roman" w:hAnsi="Times New Roman"/>
                <w:b/>
                <w:bCs/>
                <w:i/>
                <w:iCs/>
                <w:sz w:val="25"/>
                <w:szCs w:val="25"/>
              </w:rPr>
            </w:pPr>
            <w:bookmarkStart w:id="2" w:name="_GoBack"/>
            <w:bookmarkEnd w:id="2"/>
            <w:r>
              <w:rPr>
                <w:rFonts w:ascii="Times New Roman" w:hAnsi="Times New Roman"/>
                <w:szCs w:val="28"/>
                <w:lang w:val="nl-NL"/>
              </w:rPr>
              <w:tab/>
            </w:r>
            <w:r w:rsidRPr="00B80FE4">
              <w:rPr>
                <w:rFonts w:ascii="Times New Roman" w:hAnsi="Times New Roman"/>
                <w:b/>
                <w:bCs/>
                <w:i/>
                <w:iCs/>
                <w:sz w:val="25"/>
                <w:szCs w:val="25"/>
              </w:rPr>
              <w:t>Nơi nhận:</w:t>
            </w:r>
          </w:p>
          <w:p w:rsidR="00EF4357" w:rsidRDefault="00EF4357" w:rsidP="0052739A">
            <w:pPr>
              <w:widowControl w:val="0"/>
              <w:ind w:hanging="66"/>
              <w:jc w:val="both"/>
              <w:rPr>
                <w:bCs/>
                <w:sz w:val="22"/>
                <w:szCs w:val="22"/>
              </w:rPr>
            </w:pPr>
            <w:r w:rsidRPr="00B80FE4">
              <w:rPr>
                <w:bCs/>
                <w:sz w:val="22"/>
                <w:szCs w:val="22"/>
                <w:lang w:val="vi-VN"/>
              </w:rPr>
              <w:t>-</w:t>
            </w:r>
            <w:r w:rsidR="002B6344">
              <w:rPr>
                <w:bCs/>
                <w:sz w:val="22"/>
                <w:szCs w:val="22"/>
              </w:rPr>
              <w:t xml:space="preserve"> Như trên</w:t>
            </w:r>
            <w:r w:rsidRPr="00B80FE4">
              <w:rPr>
                <w:bCs/>
                <w:sz w:val="22"/>
                <w:szCs w:val="22"/>
                <w:lang w:val="vi-VN"/>
              </w:rPr>
              <w:t>;</w:t>
            </w:r>
          </w:p>
          <w:p w:rsidR="005F4C9F" w:rsidRDefault="00EF4357" w:rsidP="005F4C9F">
            <w:pPr>
              <w:widowControl w:val="0"/>
              <w:ind w:hanging="66"/>
              <w:jc w:val="both"/>
              <w:rPr>
                <w:sz w:val="22"/>
                <w:szCs w:val="22"/>
                <w:lang w:val="de-DE"/>
              </w:rPr>
            </w:pPr>
            <w:r>
              <w:rPr>
                <w:sz w:val="22"/>
                <w:szCs w:val="22"/>
                <w:lang w:val="de-DE"/>
              </w:rPr>
              <w:t>-</w:t>
            </w:r>
            <w:r w:rsidR="005F4C9F">
              <w:rPr>
                <w:sz w:val="22"/>
                <w:szCs w:val="22"/>
                <w:lang w:val="de-DE"/>
              </w:rPr>
              <w:t xml:space="preserve"> Chủ tịch, các PCT UBND tỉnh</w:t>
            </w:r>
            <w:r>
              <w:rPr>
                <w:sz w:val="22"/>
                <w:szCs w:val="22"/>
                <w:lang w:val="de-DE"/>
              </w:rPr>
              <w:t xml:space="preserve">; </w:t>
            </w:r>
          </w:p>
          <w:p w:rsidR="005F4C9F" w:rsidRDefault="005F4C9F" w:rsidP="005F4C9F">
            <w:pPr>
              <w:widowControl w:val="0"/>
              <w:ind w:hanging="66"/>
              <w:jc w:val="both"/>
              <w:rPr>
                <w:sz w:val="22"/>
                <w:szCs w:val="22"/>
              </w:rPr>
            </w:pPr>
            <w:r>
              <w:rPr>
                <w:sz w:val="22"/>
                <w:szCs w:val="22"/>
              </w:rPr>
              <w:t>- Ban VHXH, HĐND tỉnh;</w:t>
            </w:r>
          </w:p>
          <w:p w:rsidR="005F4C9F" w:rsidRDefault="005F4C9F" w:rsidP="005F4C9F">
            <w:pPr>
              <w:widowControl w:val="0"/>
              <w:ind w:hanging="66"/>
              <w:jc w:val="both"/>
              <w:rPr>
                <w:sz w:val="22"/>
                <w:szCs w:val="22"/>
              </w:rPr>
            </w:pPr>
            <w:r>
              <w:rPr>
                <w:sz w:val="22"/>
                <w:szCs w:val="22"/>
              </w:rPr>
              <w:t>- Ban KTNS, HĐND tỉnh;</w:t>
            </w:r>
          </w:p>
          <w:p w:rsidR="005F4C9F" w:rsidRDefault="00EF4357" w:rsidP="005F4C9F">
            <w:pPr>
              <w:widowControl w:val="0"/>
              <w:ind w:hanging="66"/>
              <w:jc w:val="both"/>
              <w:rPr>
                <w:sz w:val="22"/>
                <w:szCs w:val="22"/>
              </w:rPr>
            </w:pPr>
            <w:r w:rsidRPr="00B80FE4">
              <w:rPr>
                <w:sz w:val="22"/>
                <w:szCs w:val="22"/>
              </w:rPr>
              <w:t>-</w:t>
            </w:r>
            <w:r w:rsidR="00A01C70">
              <w:rPr>
                <w:sz w:val="22"/>
                <w:szCs w:val="22"/>
              </w:rPr>
              <w:t xml:space="preserve"> </w:t>
            </w:r>
            <w:r w:rsidR="00F92C2E">
              <w:rPr>
                <w:sz w:val="22"/>
                <w:szCs w:val="22"/>
              </w:rPr>
              <w:t xml:space="preserve">Các </w:t>
            </w:r>
            <w:r w:rsidRPr="00B80FE4">
              <w:rPr>
                <w:sz w:val="22"/>
                <w:szCs w:val="22"/>
              </w:rPr>
              <w:t>Sở</w:t>
            </w:r>
            <w:r w:rsidR="00F92C2E">
              <w:rPr>
                <w:sz w:val="22"/>
                <w:szCs w:val="22"/>
              </w:rPr>
              <w:t>:</w:t>
            </w:r>
            <w:r w:rsidR="00A01C70">
              <w:rPr>
                <w:sz w:val="22"/>
                <w:szCs w:val="22"/>
              </w:rPr>
              <w:t xml:space="preserve"> VH,TT&amp;DL</w:t>
            </w:r>
            <w:r w:rsidR="00F92C2E">
              <w:rPr>
                <w:sz w:val="22"/>
                <w:szCs w:val="22"/>
              </w:rPr>
              <w:t>, TC, TP</w:t>
            </w:r>
            <w:r w:rsidRPr="00B80FE4">
              <w:rPr>
                <w:sz w:val="22"/>
                <w:szCs w:val="22"/>
              </w:rPr>
              <w:t>;</w:t>
            </w:r>
          </w:p>
          <w:p w:rsidR="005F4C9F" w:rsidRDefault="005F4C9F" w:rsidP="005F4C9F">
            <w:pPr>
              <w:widowControl w:val="0"/>
              <w:ind w:hanging="66"/>
              <w:jc w:val="both"/>
              <w:rPr>
                <w:sz w:val="22"/>
                <w:szCs w:val="22"/>
              </w:rPr>
            </w:pPr>
            <w:r>
              <w:rPr>
                <w:sz w:val="22"/>
                <w:szCs w:val="22"/>
              </w:rPr>
              <w:t xml:space="preserve">- CVP, các PVP; </w:t>
            </w:r>
            <w:r w:rsidR="00EF4357">
              <w:rPr>
                <w:sz w:val="22"/>
                <w:szCs w:val="22"/>
              </w:rPr>
              <w:t xml:space="preserve"> </w:t>
            </w:r>
          </w:p>
          <w:p w:rsidR="00EF4357" w:rsidRPr="00B80FE4" w:rsidRDefault="00EF4357" w:rsidP="005F4C9F">
            <w:pPr>
              <w:widowControl w:val="0"/>
              <w:ind w:hanging="66"/>
              <w:jc w:val="both"/>
              <w:rPr>
                <w:sz w:val="22"/>
                <w:szCs w:val="26"/>
              </w:rPr>
            </w:pPr>
            <w:r w:rsidRPr="00B80FE4">
              <w:rPr>
                <w:bCs/>
                <w:sz w:val="22"/>
                <w:szCs w:val="22"/>
              </w:rPr>
              <w:t xml:space="preserve">- Lưu: VT, </w:t>
            </w:r>
            <w:r w:rsidR="005F4C9F">
              <w:rPr>
                <w:bCs/>
                <w:sz w:val="22"/>
                <w:szCs w:val="22"/>
              </w:rPr>
              <w:t>KG</w:t>
            </w:r>
            <w:r w:rsidRPr="00B80FE4">
              <w:rPr>
                <w:bCs/>
                <w:sz w:val="22"/>
                <w:szCs w:val="22"/>
              </w:rPr>
              <w:t>VX.</w:t>
            </w:r>
          </w:p>
        </w:tc>
        <w:tc>
          <w:tcPr>
            <w:tcW w:w="4465" w:type="dxa"/>
            <w:tcMar>
              <w:top w:w="0" w:type="dxa"/>
              <w:left w:w="108" w:type="dxa"/>
              <w:bottom w:w="0" w:type="dxa"/>
              <w:right w:w="108" w:type="dxa"/>
            </w:tcMar>
          </w:tcPr>
          <w:p w:rsidR="00EF4357" w:rsidRPr="00B80FE4" w:rsidRDefault="00EF4357" w:rsidP="0052739A">
            <w:pPr>
              <w:jc w:val="center"/>
              <w:rPr>
                <w:b/>
                <w:sz w:val="26"/>
                <w:szCs w:val="26"/>
              </w:rPr>
            </w:pPr>
            <w:r w:rsidRPr="00B80FE4">
              <w:rPr>
                <w:b/>
                <w:sz w:val="26"/>
                <w:szCs w:val="26"/>
              </w:rPr>
              <w:t>TM. ỦY BAN NHÂN DÂN</w:t>
            </w:r>
          </w:p>
          <w:p w:rsidR="00EF4357" w:rsidRPr="00B80FE4" w:rsidRDefault="00EF4357" w:rsidP="0052739A">
            <w:pPr>
              <w:jc w:val="center"/>
              <w:rPr>
                <w:b/>
                <w:sz w:val="26"/>
              </w:rPr>
            </w:pPr>
            <w:r w:rsidRPr="00B80FE4">
              <w:rPr>
                <w:b/>
                <w:sz w:val="26"/>
              </w:rPr>
              <w:t>CHỦ TỊCH</w:t>
            </w:r>
          </w:p>
          <w:p w:rsidR="00EF4357" w:rsidRDefault="00EF4357" w:rsidP="0052739A">
            <w:pPr>
              <w:jc w:val="center"/>
              <w:rPr>
                <w:b/>
                <w:sz w:val="26"/>
                <w:szCs w:val="26"/>
              </w:rPr>
            </w:pPr>
          </w:p>
          <w:p w:rsidR="002B6344" w:rsidRPr="00B80FE4" w:rsidRDefault="002B6344" w:rsidP="0052739A">
            <w:pPr>
              <w:jc w:val="center"/>
              <w:rPr>
                <w:b/>
                <w:sz w:val="26"/>
                <w:szCs w:val="26"/>
              </w:rPr>
            </w:pPr>
          </w:p>
          <w:p w:rsidR="00EF4357" w:rsidRPr="00B80FE4" w:rsidRDefault="00EF4357" w:rsidP="0052739A">
            <w:pPr>
              <w:jc w:val="center"/>
              <w:rPr>
                <w:b/>
                <w:sz w:val="36"/>
                <w:szCs w:val="26"/>
              </w:rPr>
            </w:pPr>
          </w:p>
          <w:p w:rsidR="00EF4357" w:rsidRPr="00B80FE4" w:rsidRDefault="00EF4357" w:rsidP="0052739A">
            <w:pPr>
              <w:jc w:val="center"/>
              <w:rPr>
                <w:b/>
                <w:sz w:val="16"/>
                <w:szCs w:val="26"/>
              </w:rPr>
            </w:pPr>
          </w:p>
          <w:p w:rsidR="00EF4357" w:rsidRPr="00D6523D" w:rsidRDefault="00EF4357" w:rsidP="0052739A">
            <w:pPr>
              <w:jc w:val="center"/>
              <w:rPr>
                <w:b/>
                <w:sz w:val="28"/>
                <w:szCs w:val="26"/>
              </w:rPr>
            </w:pPr>
          </w:p>
          <w:p w:rsidR="00EF4357" w:rsidRPr="00B80FE4" w:rsidRDefault="00EF4357" w:rsidP="0052739A">
            <w:pPr>
              <w:rPr>
                <w:b/>
                <w:sz w:val="36"/>
                <w:szCs w:val="26"/>
              </w:rPr>
            </w:pPr>
          </w:p>
          <w:p w:rsidR="00EF4357" w:rsidRPr="00DD2EA2" w:rsidRDefault="002B6344" w:rsidP="0052739A">
            <w:pPr>
              <w:jc w:val="center"/>
              <w:rPr>
                <w:b/>
                <w:sz w:val="29"/>
                <w:szCs w:val="29"/>
              </w:rPr>
            </w:pPr>
            <w:r>
              <w:rPr>
                <w:b/>
                <w:sz w:val="29"/>
                <w:szCs w:val="29"/>
              </w:rPr>
              <w:t>Võ Văn Hưng</w:t>
            </w:r>
          </w:p>
        </w:tc>
      </w:tr>
    </w:tbl>
    <w:p w:rsidR="00EF4357" w:rsidRDefault="00EF4357" w:rsidP="00A3391E">
      <w:pPr>
        <w:rPr>
          <w:rFonts w:ascii="Times New Roman" w:hAnsi="Times New Roman"/>
          <w:b/>
          <w:color w:val="000000"/>
          <w:sz w:val="28"/>
          <w:szCs w:val="28"/>
        </w:rPr>
      </w:pPr>
    </w:p>
    <w:p w:rsidR="006B6920" w:rsidRDefault="006B6920" w:rsidP="00A3391E">
      <w:pPr>
        <w:rPr>
          <w:rFonts w:ascii="Times New Roman" w:hAnsi="Times New Roman"/>
          <w:b/>
          <w:color w:val="000000"/>
          <w:sz w:val="28"/>
          <w:szCs w:val="28"/>
        </w:rPr>
      </w:pPr>
    </w:p>
    <w:p w:rsidR="002B6344" w:rsidRDefault="002B6344" w:rsidP="00A3391E">
      <w:pPr>
        <w:rPr>
          <w:rFonts w:ascii="Times New Roman" w:hAnsi="Times New Roman"/>
          <w:b/>
          <w:color w:val="000000"/>
          <w:sz w:val="28"/>
          <w:szCs w:val="28"/>
        </w:rPr>
      </w:pPr>
    </w:p>
    <w:p w:rsidR="006B6920" w:rsidRDefault="006B6920" w:rsidP="00A3391E">
      <w:pPr>
        <w:rPr>
          <w:rFonts w:ascii="Times New Roman" w:hAnsi="Times New Roman"/>
          <w:b/>
          <w:color w:val="000000"/>
          <w:sz w:val="28"/>
          <w:szCs w:val="28"/>
        </w:rPr>
      </w:pPr>
    </w:p>
    <w:p w:rsidR="00EF4357" w:rsidRDefault="00EF4357" w:rsidP="00A3391E">
      <w:pPr>
        <w:rPr>
          <w:rFonts w:ascii="Times New Roman" w:hAnsi="Times New Roman"/>
          <w:b/>
          <w:color w:val="000000"/>
          <w:sz w:val="28"/>
          <w:szCs w:val="28"/>
        </w:rPr>
      </w:pPr>
    </w:p>
    <w:p w:rsidR="00EF4357" w:rsidRDefault="00EF4357" w:rsidP="00A3391E">
      <w:pPr>
        <w:rPr>
          <w:rFonts w:ascii="Times New Roman" w:hAnsi="Times New Roman"/>
          <w:b/>
          <w:color w:val="000000"/>
          <w:sz w:val="28"/>
          <w:szCs w:val="28"/>
        </w:rPr>
      </w:pPr>
    </w:p>
    <w:p w:rsidR="00EF4357" w:rsidRDefault="00EF4357" w:rsidP="00A3391E">
      <w:pPr>
        <w:rPr>
          <w:rFonts w:ascii="Times New Roman" w:hAnsi="Times New Roman"/>
          <w:b/>
          <w:color w:val="000000"/>
          <w:sz w:val="28"/>
          <w:szCs w:val="28"/>
        </w:rPr>
      </w:pPr>
    </w:p>
    <w:p w:rsidR="00496ABC" w:rsidRDefault="00496ABC" w:rsidP="00A3391E">
      <w:pPr>
        <w:rPr>
          <w:rFonts w:ascii="Times New Roman" w:hAnsi="Times New Roman"/>
          <w:b/>
          <w:color w:val="000000"/>
          <w:sz w:val="28"/>
          <w:szCs w:val="28"/>
        </w:rPr>
      </w:pPr>
    </w:p>
    <w:p w:rsidR="00496ABC" w:rsidRDefault="00496ABC" w:rsidP="00A3391E">
      <w:pPr>
        <w:rPr>
          <w:rFonts w:ascii="Times New Roman" w:hAnsi="Times New Roman"/>
          <w:b/>
          <w:color w:val="000000"/>
          <w:sz w:val="28"/>
          <w:szCs w:val="28"/>
        </w:rPr>
      </w:pPr>
    </w:p>
    <w:p w:rsidR="00496ABC" w:rsidRDefault="00496ABC" w:rsidP="00A3391E">
      <w:pPr>
        <w:rPr>
          <w:rFonts w:ascii="Times New Roman" w:hAnsi="Times New Roman"/>
          <w:b/>
          <w:color w:val="000000"/>
          <w:sz w:val="28"/>
          <w:szCs w:val="28"/>
        </w:rPr>
      </w:pPr>
    </w:p>
    <w:p w:rsidR="00A01C70" w:rsidRDefault="00A01C70" w:rsidP="00A3391E">
      <w:pPr>
        <w:rPr>
          <w:rFonts w:ascii="Times New Roman" w:hAnsi="Times New Roman"/>
          <w:b/>
          <w:color w:val="000000"/>
          <w:sz w:val="28"/>
          <w:szCs w:val="28"/>
        </w:rPr>
        <w:sectPr w:rsidR="00A01C70" w:rsidSect="002853B8">
          <w:headerReference w:type="default" r:id="rId8"/>
          <w:footerReference w:type="even" r:id="rId9"/>
          <w:footerReference w:type="default" r:id="rId10"/>
          <w:pgSz w:w="11907" w:h="16840" w:code="9"/>
          <w:pgMar w:top="895" w:right="1134" w:bottom="1134" w:left="1701" w:header="720" w:footer="720" w:gutter="0"/>
          <w:cols w:space="720"/>
          <w:titlePg/>
          <w:docGrid w:linePitch="360"/>
        </w:sectPr>
      </w:pPr>
    </w:p>
    <w:p w:rsidR="00496ABC" w:rsidRDefault="00496ABC" w:rsidP="002B6344">
      <w:pPr>
        <w:jc w:val="center"/>
        <w:rPr>
          <w:rFonts w:ascii="Times New Roman" w:hAnsi="Times New Roman"/>
          <w:b/>
          <w:color w:val="000000"/>
          <w:sz w:val="28"/>
          <w:szCs w:val="28"/>
        </w:rPr>
      </w:pPr>
    </w:p>
    <w:sectPr w:rsidR="00496ABC" w:rsidSect="00496ABC">
      <w:pgSz w:w="16840" w:h="11907" w:orient="landscape" w:code="9"/>
      <w:pgMar w:top="709"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67F" w:rsidRDefault="0090467F">
      <w:r>
        <w:separator/>
      </w:r>
    </w:p>
  </w:endnote>
  <w:endnote w:type="continuationSeparator" w:id="0">
    <w:p w:rsidR="0090467F" w:rsidRDefault="0090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7C" w:rsidRDefault="002B5AE3" w:rsidP="00D54127">
    <w:pPr>
      <w:pStyle w:val="Footer"/>
      <w:framePr w:wrap="around" w:vAnchor="text" w:hAnchor="margin" w:xAlign="center" w:y="1"/>
      <w:rPr>
        <w:rStyle w:val="PageNumber"/>
      </w:rPr>
    </w:pPr>
    <w:r>
      <w:rPr>
        <w:rStyle w:val="PageNumber"/>
      </w:rPr>
      <w:fldChar w:fldCharType="begin"/>
    </w:r>
    <w:r w:rsidR="00A5547C">
      <w:rPr>
        <w:rStyle w:val="PageNumber"/>
      </w:rPr>
      <w:instrText xml:space="preserve">PAGE  </w:instrText>
    </w:r>
    <w:r>
      <w:rPr>
        <w:rStyle w:val="PageNumber"/>
      </w:rPr>
      <w:fldChar w:fldCharType="end"/>
    </w:r>
  </w:p>
  <w:p w:rsidR="00A5547C" w:rsidRDefault="00A5547C" w:rsidP="00D541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7C" w:rsidRDefault="00A5547C" w:rsidP="00D541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67F" w:rsidRDefault="0090467F">
      <w:r>
        <w:separator/>
      </w:r>
    </w:p>
  </w:footnote>
  <w:footnote w:type="continuationSeparator" w:id="0">
    <w:p w:rsidR="0090467F" w:rsidRDefault="0090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47C" w:rsidRDefault="002B5AE3">
    <w:pPr>
      <w:pStyle w:val="Header"/>
      <w:jc w:val="center"/>
    </w:pPr>
    <w:r>
      <w:fldChar w:fldCharType="begin"/>
    </w:r>
    <w:r w:rsidR="00A5547C">
      <w:instrText xml:space="preserve"> PAGE   \* MERGEFORMAT </w:instrText>
    </w:r>
    <w:r>
      <w:fldChar w:fldCharType="separate"/>
    </w:r>
    <w:r w:rsidR="00652B8E">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00C53"/>
    <w:multiLevelType w:val="multilevel"/>
    <w:tmpl w:val="E9AA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1E"/>
    <w:rsid w:val="000024F7"/>
    <w:rsid w:val="00003643"/>
    <w:rsid w:val="000075B6"/>
    <w:rsid w:val="00032CF5"/>
    <w:rsid w:val="000332F4"/>
    <w:rsid w:val="0004775A"/>
    <w:rsid w:val="00051401"/>
    <w:rsid w:val="00051598"/>
    <w:rsid w:val="00051951"/>
    <w:rsid w:val="00056AB7"/>
    <w:rsid w:val="00060A5A"/>
    <w:rsid w:val="0006272A"/>
    <w:rsid w:val="000629F5"/>
    <w:rsid w:val="0007046B"/>
    <w:rsid w:val="00076798"/>
    <w:rsid w:val="000A0A57"/>
    <w:rsid w:val="000A50D5"/>
    <w:rsid w:val="000B58C8"/>
    <w:rsid w:val="000B7E55"/>
    <w:rsid w:val="000C224F"/>
    <w:rsid w:val="000C2DDE"/>
    <w:rsid w:val="000C45DC"/>
    <w:rsid w:val="000C5F1F"/>
    <w:rsid w:val="000C62BF"/>
    <w:rsid w:val="000C7A64"/>
    <w:rsid w:val="000D021E"/>
    <w:rsid w:val="000D2ECE"/>
    <w:rsid w:val="000D5A20"/>
    <w:rsid w:val="000E4363"/>
    <w:rsid w:val="000E76C7"/>
    <w:rsid w:val="000F37A7"/>
    <w:rsid w:val="000F5FC7"/>
    <w:rsid w:val="000F61A4"/>
    <w:rsid w:val="001022B2"/>
    <w:rsid w:val="00105DAB"/>
    <w:rsid w:val="0011547D"/>
    <w:rsid w:val="0012339D"/>
    <w:rsid w:val="00125942"/>
    <w:rsid w:val="001319CD"/>
    <w:rsid w:val="001353AC"/>
    <w:rsid w:val="00154916"/>
    <w:rsid w:val="00166BAC"/>
    <w:rsid w:val="001724EE"/>
    <w:rsid w:val="00172799"/>
    <w:rsid w:val="00175124"/>
    <w:rsid w:val="00175312"/>
    <w:rsid w:val="00181847"/>
    <w:rsid w:val="00184603"/>
    <w:rsid w:val="00187630"/>
    <w:rsid w:val="001A3A32"/>
    <w:rsid w:val="001A3F08"/>
    <w:rsid w:val="001A42CF"/>
    <w:rsid w:val="001A4955"/>
    <w:rsid w:val="001B49F3"/>
    <w:rsid w:val="001B5F9C"/>
    <w:rsid w:val="001C5D72"/>
    <w:rsid w:val="001C76C3"/>
    <w:rsid w:val="001C7D6E"/>
    <w:rsid w:val="001D1A59"/>
    <w:rsid w:val="001D7B78"/>
    <w:rsid w:val="001D7C52"/>
    <w:rsid w:val="001E31B7"/>
    <w:rsid w:val="001F2797"/>
    <w:rsid w:val="001F472B"/>
    <w:rsid w:val="001F7CFC"/>
    <w:rsid w:val="001F7DA9"/>
    <w:rsid w:val="00213D08"/>
    <w:rsid w:val="002162A9"/>
    <w:rsid w:val="00216A22"/>
    <w:rsid w:val="00216C90"/>
    <w:rsid w:val="002244DE"/>
    <w:rsid w:val="00226494"/>
    <w:rsid w:val="002420D2"/>
    <w:rsid w:val="0024425B"/>
    <w:rsid w:val="00247B9B"/>
    <w:rsid w:val="00250EC9"/>
    <w:rsid w:val="00254A4B"/>
    <w:rsid w:val="002671EC"/>
    <w:rsid w:val="00272B80"/>
    <w:rsid w:val="002853B8"/>
    <w:rsid w:val="002866A1"/>
    <w:rsid w:val="002902BA"/>
    <w:rsid w:val="0029364D"/>
    <w:rsid w:val="002A3A01"/>
    <w:rsid w:val="002A3E04"/>
    <w:rsid w:val="002B0E08"/>
    <w:rsid w:val="002B4220"/>
    <w:rsid w:val="002B44AD"/>
    <w:rsid w:val="002B55ED"/>
    <w:rsid w:val="002B5AE3"/>
    <w:rsid w:val="002B6119"/>
    <w:rsid w:val="002B6344"/>
    <w:rsid w:val="002B79A2"/>
    <w:rsid w:val="002D0AF5"/>
    <w:rsid w:val="002D5017"/>
    <w:rsid w:val="002E7BE3"/>
    <w:rsid w:val="002F19C5"/>
    <w:rsid w:val="002F6255"/>
    <w:rsid w:val="00300495"/>
    <w:rsid w:val="00304A1D"/>
    <w:rsid w:val="00316DFD"/>
    <w:rsid w:val="00320B2E"/>
    <w:rsid w:val="00342188"/>
    <w:rsid w:val="00342DE3"/>
    <w:rsid w:val="00351E5C"/>
    <w:rsid w:val="00353A2C"/>
    <w:rsid w:val="00353D65"/>
    <w:rsid w:val="003546E7"/>
    <w:rsid w:val="00360EBA"/>
    <w:rsid w:val="00373A1E"/>
    <w:rsid w:val="00373C2D"/>
    <w:rsid w:val="00374188"/>
    <w:rsid w:val="0038282A"/>
    <w:rsid w:val="00383981"/>
    <w:rsid w:val="00384FA3"/>
    <w:rsid w:val="00386082"/>
    <w:rsid w:val="00386D20"/>
    <w:rsid w:val="00387BED"/>
    <w:rsid w:val="0039333D"/>
    <w:rsid w:val="00394140"/>
    <w:rsid w:val="00394D4B"/>
    <w:rsid w:val="00395DE0"/>
    <w:rsid w:val="0039719D"/>
    <w:rsid w:val="003A08F3"/>
    <w:rsid w:val="003A21F0"/>
    <w:rsid w:val="003A2937"/>
    <w:rsid w:val="003A4A80"/>
    <w:rsid w:val="003A5C90"/>
    <w:rsid w:val="003B2660"/>
    <w:rsid w:val="003B2828"/>
    <w:rsid w:val="003B4FDF"/>
    <w:rsid w:val="003C0B5A"/>
    <w:rsid w:val="003C5B23"/>
    <w:rsid w:val="003E1663"/>
    <w:rsid w:val="003E23B0"/>
    <w:rsid w:val="003F6670"/>
    <w:rsid w:val="00401548"/>
    <w:rsid w:val="00402C2D"/>
    <w:rsid w:val="0041185F"/>
    <w:rsid w:val="00411B35"/>
    <w:rsid w:val="00413120"/>
    <w:rsid w:val="0041328E"/>
    <w:rsid w:val="0041412E"/>
    <w:rsid w:val="004238C6"/>
    <w:rsid w:val="00423CD6"/>
    <w:rsid w:val="004249A2"/>
    <w:rsid w:val="00425A63"/>
    <w:rsid w:val="0042631B"/>
    <w:rsid w:val="00426C2D"/>
    <w:rsid w:val="00433739"/>
    <w:rsid w:val="00435201"/>
    <w:rsid w:val="0044093B"/>
    <w:rsid w:val="00442768"/>
    <w:rsid w:val="00443730"/>
    <w:rsid w:val="00446F9C"/>
    <w:rsid w:val="0045234A"/>
    <w:rsid w:val="00453231"/>
    <w:rsid w:val="00455853"/>
    <w:rsid w:val="00462166"/>
    <w:rsid w:val="00465C8E"/>
    <w:rsid w:val="00466CEA"/>
    <w:rsid w:val="004713C3"/>
    <w:rsid w:val="00481FF2"/>
    <w:rsid w:val="00485D38"/>
    <w:rsid w:val="004967A2"/>
    <w:rsid w:val="00496ABC"/>
    <w:rsid w:val="004A28B0"/>
    <w:rsid w:val="004A29CC"/>
    <w:rsid w:val="004A55A2"/>
    <w:rsid w:val="004B414E"/>
    <w:rsid w:val="004B4BDD"/>
    <w:rsid w:val="004C5C78"/>
    <w:rsid w:val="004D2F06"/>
    <w:rsid w:val="004E1014"/>
    <w:rsid w:val="004E226F"/>
    <w:rsid w:val="004E45B5"/>
    <w:rsid w:val="004E524E"/>
    <w:rsid w:val="0050461A"/>
    <w:rsid w:val="00525E28"/>
    <w:rsid w:val="005264E1"/>
    <w:rsid w:val="0052739A"/>
    <w:rsid w:val="00531D7D"/>
    <w:rsid w:val="005424E3"/>
    <w:rsid w:val="005526F6"/>
    <w:rsid w:val="00557498"/>
    <w:rsid w:val="005575D6"/>
    <w:rsid w:val="00564021"/>
    <w:rsid w:val="005713CE"/>
    <w:rsid w:val="005824BB"/>
    <w:rsid w:val="0058347A"/>
    <w:rsid w:val="005837DD"/>
    <w:rsid w:val="00585023"/>
    <w:rsid w:val="005867DD"/>
    <w:rsid w:val="00587EB1"/>
    <w:rsid w:val="00591D7D"/>
    <w:rsid w:val="005A1AC6"/>
    <w:rsid w:val="005A6C6C"/>
    <w:rsid w:val="005B603B"/>
    <w:rsid w:val="005B6EF6"/>
    <w:rsid w:val="005C449A"/>
    <w:rsid w:val="005C6C1C"/>
    <w:rsid w:val="005C74E9"/>
    <w:rsid w:val="005C79F9"/>
    <w:rsid w:val="005D6343"/>
    <w:rsid w:val="005E557C"/>
    <w:rsid w:val="005F0842"/>
    <w:rsid w:val="005F4C9F"/>
    <w:rsid w:val="005F6A7B"/>
    <w:rsid w:val="006036A6"/>
    <w:rsid w:val="00607FA3"/>
    <w:rsid w:val="00610E22"/>
    <w:rsid w:val="00621D52"/>
    <w:rsid w:val="00623748"/>
    <w:rsid w:val="00623DD6"/>
    <w:rsid w:val="006248D6"/>
    <w:rsid w:val="0064167F"/>
    <w:rsid w:val="006471B7"/>
    <w:rsid w:val="00652B8E"/>
    <w:rsid w:val="00664371"/>
    <w:rsid w:val="00680CC6"/>
    <w:rsid w:val="00681F06"/>
    <w:rsid w:val="00691695"/>
    <w:rsid w:val="00695D4C"/>
    <w:rsid w:val="006A05FC"/>
    <w:rsid w:val="006A10FE"/>
    <w:rsid w:val="006A7261"/>
    <w:rsid w:val="006B1058"/>
    <w:rsid w:val="006B6920"/>
    <w:rsid w:val="006B7D8B"/>
    <w:rsid w:val="006C7213"/>
    <w:rsid w:val="006D7BD1"/>
    <w:rsid w:val="006E0DA0"/>
    <w:rsid w:val="006F0BD2"/>
    <w:rsid w:val="00705E64"/>
    <w:rsid w:val="007104F9"/>
    <w:rsid w:val="0072094C"/>
    <w:rsid w:val="007249EF"/>
    <w:rsid w:val="00726FEF"/>
    <w:rsid w:val="007319DA"/>
    <w:rsid w:val="0073587D"/>
    <w:rsid w:val="00741E29"/>
    <w:rsid w:val="00744E9E"/>
    <w:rsid w:val="00752C2D"/>
    <w:rsid w:val="00752FA5"/>
    <w:rsid w:val="007565DF"/>
    <w:rsid w:val="00761C23"/>
    <w:rsid w:val="0076651E"/>
    <w:rsid w:val="00780AE9"/>
    <w:rsid w:val="00784B56"/>
    <w:rsid w:val="007855A3"/>
    <w:rsid w:val="00787457"/>
    <w:rsid w:val="007939F3"/>
    <w:rsid w:val="007A2E1C"/>
    <w:rsid w:val="007A3D32"/>
    <w:rsid w:val="007A6500"/>
    <w:rsid w:val="007A7F5F"/>
    <w:rsid w:val="007B0BDB"/>
    <w:rsid w:val="007B2DF4"/>
    <w:rsid w:val="007D06D9"/>
    <w:rsid w:val="007F15AE"/>
    <w:rsid w:val="007F46F6"/>
    <w:rsid w:val="007F6838"/>
    <w:rsid w:val="0080349D"/>
    <w:rsid w:val="00803BFD"/>
    <w:rsid w:val="00816068"/>
    <w:rsid w:val="008459B5"/>
    <w:rsid w:val="00847D8E"/>
    <w:rsid w:val="00856363"/>
    <w:rsid w:val="00863AA2"/>
    <w:rsid w:val="008652B1"/>
    <w:rsid w:val="008658BD"/>
    <w:rsid w:val="0087200B"/>
    <w:rsid w:val="00874BB3"/>
    <w:rsid w:val="008761C6"/>
    <w:rsid w:val="008877D0"/>
    <w:rsid w:val="0089131C"/>
    <w:rsid w:val="00894DD4"/>
    <w:rsid w:val="008972EF"/>
    <w:rsid w:val="008B2269"/>
    <w:rsid w:val="008B62A7"/>
    <w:rsid w:val="008B75F6"/>
    <w:rsid w:val="008D0969"/>
    <w:rsid w:val="008D3E40"/>
    <w:rsid w:val="008E1C1E"/>
    <w:rsid w:val="008E1FE0"/>
    <w:rsid w:val="008E22B4"/>
    <w:rsid w:val="008E4173"/>
    <w:rsid w:val="008E4D72"/>
    <w:rsid w:val="008F2E37"/>
    <w:rsid w:val="00900DB8"/>
    <w:rsid w:val="00903FDA"/>
    <w:rsid w:val="0090467F"/>
    <w:rsid w:val="0090591E"/>
    <w:rsid w:val="00907F9A"/>
    <w:rsid w:val="009116F2"/>
    <w:rsid w:val="009245C0"/>
    <w:rsid w:val="00924F85"/>
    <w:rsid w:val="009369B7"/>
    <w:rsid w:val="00937017"/>
    <w:rsid w:val="00942C2B"/>
    <w:rsid w:val="00942D0F"/>
    <w:rsid w:val="00960B73"/>
    <w:rsid w:val="00966F0D"/>
    <w:rsid w:val="00966F76"/>
    <w:rsid w:val="0096748D"/>
    <w:rsid w:val="009679C0"/>
    <w:rsid w:val="00983BC3"/>
    <w:rsid w:val="00993F2F"/>
    <w:rsid w:val="00995C46"/>
    <w:rsid w:val="0099736E"/>
    <w:rsid w:val="009A51CF"/>
    <w:rsid w:val="009B178C"/>
    <w:rsid w:val="009C1521"/>
    <w:rsid w:val="009D1CCB"/>
    <w:rsid w:val="009D3530"/>
    <w:rsid w:val="009D3761"/>
    <w:rsid w:val="009E5E78"/>
    <w:rsid w:val="009E672D"/>
    <w:rsid w:val="00A01C70"/>
    <w:rsid w:val="00A03DDE"/>
    <w:rsid w:val="00A2021D"/>
    <w:rsid w:val="00A2071F"/>
    <w:rsid w:val="00A2152D"/>
    <w:rsid w:val="00A22CFF"/>
    <w:rsid w:val="00A27E2A"/>
    <w:rsid w:val="00A30D43"/>
    <w:rsid w:val="00A30E54"/>
    <w:rsid w:val="00A33545"/>
    <w:rsid w:val="00A3391E"/>
    <w:rsid w:val="00A426E9"/>
    <w:rsid w:val="00A5547C"/>
    <w:rsid w:val="00A567BA"/>
    <w:rsid w:val="00A60A4B"/>
    <w:rsid w:val="00A62ACE"/>
    <w:rsid w:val="00A65355"/>
    <w:rsid w:val="00A71D52"/>
    <w:rsid w:val="00A73680"/>
    <w:rsid w:val="00A74162"/>
    <w:rsid w:val="00A80CBC"/>
    <w:rsid w:val="00A860E1"/>
    <w:rsid w:val="00A9780D"/>
    <w:rsid w:val="00AA10DD"/>
    <w:rsid w:val="00AA18A2"/>
    <w:rsid w:val="00AA45FE"/>
    <w:rsid w:val="00AB0097"/>
    <w:rsid w:val="00AB276E"/>
    <w:rsid w:val="00AB2A1C"/>
    <w:rsid w:val="00AC1279"/>
    <w:rsid w:val="00AC44D4"/>
    <w:rsid w:val="00AC4792"/>
    <w:rsid w:val="00AC7731"/>
    <w:rsid w:val="00AD03C9"/>
    <w:rsid w:val="00AD21DF"/>
    <w:rsid w:val="00AD22C0"/>
    <w:rsid w:val="00AD6169"/>
    <w:rsid w:val="00AD7121"/>
    <w:rsid w:val="00AE1BD0"/>
    <w:rsid w:val="00AF1477"/>
    <w:rsid w:val="00AF79B5"/>
    <w:rsid w:val="00B00474"/>
    <w:rsid w:val="00B007D4"/>
    <w:rsid w:val="00B013C4"/>
    <w:rsid w:val="00B05E3A"/>
    <w:rsid w:val="00B10A1E"/>
    <w:rsid w:val="00B123D2"/>
    <w:rsid w:val="00B12A6A"/>
    <w:rsid w:val="00B13C90"/>
    <w:rsid w:val="00B179E2"/>
    <w:rsid w:val="00B23A27"/>
    <w:rsid w:val="00B3411C"/>
    <w:rsid w:val="00B40744"/>
    <w:rsid w:val="00B41A3D"/>
    <w:rsid w:val="00B442AE"/>
    <w:rsid w:val="00B4791F"/>
    <w:rsid w:val="00B53236"/>
    <w:rsid w:val="00B55A5D"/>
    <w:rsid w:val="00B60577"/>
    <w:rsid w:val="00B639BF"/>
    <w:rsid w:val="00B64AE5"/>
    <w:rsid w:val="00B74F4F"/>
    <w:rsid w:val="00B75856"/>
    <w:rsid w:val="00B83BF9"/>
    <w:rsid w:val="00B85F5F"/>
    <w:rsid w:val="00B91B15"/>
    <w:rsid w:val="00B979C9"/>
    <w:rsid w:val="00BC36A6"/>
    <w:rsid w:val="00BD48BF"/>
    <w:rsid w:val="00BD64E1"/>
    <w:rsid w:val="00BE3042"/>
    <w:rsid w:val="00BE33D6"/>
    <w:rsid w:val="00BE538B"/>
    <w:rsid w:val="00BE7257"/>
    <w:rsid w:val="00BF1589"/>
    <w:rsid w:val="00C07CD3"/>
    <w:rsid w:val="00C11E6C"/>
    <w:rsid w:val="00C1354B"/>
    <w:rsid w:val="00C360EC"/>
    <w:rsid w:val="00C365F5"/>
    <w:rsid w:val="00C36BA0"/>
    <w:rsid w:val="00C529CB"/>
    <w:rsid w:val="00C56CB0"/>
    <w:rsid w:val="00C61982"/>
    <w:rsid w:val="00C74CBC"/>
    <w:rsid w:val="00C90208"/>
    <w:rsid w:val="00C92D10"/>
    <w:rsid w:val="00C94ACB"/>
    <w:rsid w:val="00C959E3"/>
    <w:rsid w:val="00CA3AA6"/>
    <w:rsid w:val="00CA6017"/>
    <w:rsid w:val="00CC2E11"/>
    <w:rsid w:val="00CC4D08"/>
    <w:rsid w:val="00CC6EAC"/>
    <w:rsid w:val="00CD0DF8"/>
    <w:rsid w:val="00CE00B0"/>
    <w:rsid w:val="00CE58D4"/>
    <w:rsid w:val="00CF7CF8"/>
    <w:rsid w:val="00D01775"/>
    <w:rsid w:val="00D0646D"/>
    <w:rsid w:val="00D16195"/>
    <w:rsid w:val="00D17376"/>
    <w:rsid w:val="00D2132D"/>
    <w:rsid w:val="00D22F74"/>
    <w:rsid w:val="00D23E7C"/>
    <w:rsid w:val="00D302E4"/>
    <w:rsid w:val="00D343C3"/>
    <w:rsid w:val="00D460FA"/>
    <w:rsid w:val="00D54127"/>
    <w:rsid w:val="00D602F7"/>
    <w:rsid w:val="00D60521"/>
    <w:rsid w:val="00D6523D"/>
    <w:rsid w:val="00D6732A"/>
    <w:rsid w:val="00D85EA9"/>
    <w:rsid w:val="00D8737C"/>
    <w:rsid w:val="00D93FE6"/>
    <w:rsid w:val="00DB51FF"/>
    <w:rsid w:val="00DB599A"/>
    <w:rsid w:val="00DE29BB"/>
    <w:rsid w:val="00DF462F"/>
    <w:rsid w:val="00DF65E5"/>
    <w:rsid w:val="00DF6FA1"/>
    <w:rsid w:val="00E14967"/>
    <w:rsid w:val="00E15398"/>
    <w:rsid w:val="00E17EE4"/>
    <w:rsid w:val="00E31EC4"/>
    <w:rsid w:val="00E32219"/>
    <w:rsid w:val="00E41630"/>
    <w:rsid w:val="00E45D6E"/>
    <w:rsid w:val="00E655B2"/>
    <w:rsid w:val="00E65672"/>
    <w:rsid w:val="00E66FCB"/>
    <w:rsid w:val="00E74CAE"/>
    <w:rsid w:val="00E76CCF"/>
    <w:rsid w:val="00E83C21"/>
    <w:rsid w:val="00E904A7"/>
    <w:rsid w:val="00EA4ED1"/>
    <w:rsid w:val="00EB2F99"/>
    <w:rsid w:val="00EC4EB1"/>
    <w:rsid w:val="00EC5E7A"/>
    <w:rsid w:val="00ED4F8E"/>
    <w:rsid w:val="00EE07AA"/>
    <w:rsid w:val="00EF273A"/>
    <w:rsid w:val="00EF4357"/>
    <w:rsid w:val="00F12126"/>
    <w:rsid w:val="00F210F2"/>
    <w:rsid w:val="00F22ACD"/>
    <w:rsid w:val="00F33E68"/>
    <w:rsid w:val="00F36464"/>
    <w:rsid w:val="00F37671"/>
    <w:rsid w:val="00F4388F"/>
    <w:rsid w:val="00F442D0"/>
    <w:rsid w:val="00F5271B"/>
    <w:rsid w:val="00F52F50"/>
    <w:rsid w:val="00F559ED"/>
    <w:rsid w:val="00F57093"/>
    <w:rsid w:val="00F82487"/>
    <w:rsid w:val="00F831DF"/>
    <w:rsid w:val="00F8613D"/>
    <w:rsid w:val="00F91805"/>
    <w:rsid w:val="00F92C2E"/>
    <w:rsid w:val="00F94FDA"/>
    <w:rsid w:val="00F95D4F"/>
    <w:rsid w:val="00FA28BA"/>
    <w:rsid w:val="00FA320A"/>
    <w:rsid w:val="00FA6D1E"/>
    <w:rsid w:val="00FA7355"/>
    <w:rsid w:val="00FB1256"/>
    <w:rsid w:val="00FB7111"/>
    <w:rsid w:val="00FB7A9A"/>
    <w:rsid w:val="00FC25A3"/>
    <w:rsid w:val="00FC35E3"/>
    <w:rsid w:val="00FC3C25"/>
    <w:rsid w:val="00FD193C"/>
    <w:rsid w:val="00FD1CCA"/>
    <w:rsid w:val="00FE0624"/>
    <w:rsid w:val="00FE301F"/>
    <w:rsid w:val="00FE498C"/>
    <w:rsid w:val="00FE5A9C"/>
    <w:rsid w:val="00FF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7B7A-4E2B-4B4F-8113-E5C782C0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91E"/>
    <w:rPr>
      <w:rFonts w:ascii=".VnTime" w:eastAsia="Times New Roman" w:hAnsi=".VnTime"/>
      <w:sz w:val="24"/>
      <w:szCs w:val="24"/>
    </w:rPr>
  </w:style>
  <w:style w:type="paragraph" w:styleId="Heading1">
    <w:name w:val="heading 1"/>
    <w:basedOn w:val="Normal"/>
    <w:next w:val="Normal"/>
    <w:link w:val="Heading1Char"/>
    <w:qFormat/>
    <w:rsid w:val="002B6344"/>
    <w:pPr>
      <w:keepNext/>
      <w:outlineLvl w:val="0"/>
    </w:pPr>
    <w:rPr>
      <w:rFonts w:ascii="VNtimes new roman" w:hAnsi="VN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3391E"/>
    <w:rPr>
      <w:b/>
      <w:bCs/>
    </w:rPr>
  </w:style>
  <w:style w:type="paragraph" w:styleId="NormalWeb">
    <w:name w:val="Normal (Web)"/>
    <w:aliases w:val=" Char Char Char,Char Char Char"/>
    <w:basedOn w:val="Normal"/>
    <w:link w:val="NormalWebChar"/>
    <w:uiPriority w:val="99"/>
    <w:qFormat/>
    <w:rsid w:val="00A3391E"/>
    <w:pPr>
      <w:spacing w:before="100" w:beforeAutospacing="1" w:after="100" w:afterAutospacing="1"/>
    </w:pPr>
    <w:rPr>
      <w:rFonts w:ascii="Times New Roman" w:hAnsi="Times New Roman"/>
    </w:rPr>
  </w:style>
  <w:style w:type="character" w:styleId="Emphasis">
    <w:name w:val="Emphasis"/>
    <w:qFormat/>
    <w:rsid w:val="00A3391E"/>
    <w:rPr>
      <w:i/>
      <w:iCs/>
    </w:rPr>
  </w:style>
  <w:style w:type="paragraph" w:styleId="Footer">
    <w:name w:val="footer"/>
    <w:basedOn w:val="Normal"/>
    <w:link w:val="FooterChar"/>
    <w:uiPriority w:val="99"/>
    <w:rsid w:val="00A3391E"/>
    <w:pPr>
      <w:tabs>
        <w:tab w:val="center" w:pos="4320"/>
        <w:tab w:val="right" w:pos="8640"/>
      </w:tabs>
    </w:pPr>
  </w:style>
  <w:style w:type="character" w:customStyle="1" w:styleId="FooterChar">
    <w:name w:val="Footer Char"/>
    <w:link w:val="Footer"/>
    <w:uiPriority w:val="99"/>
    <w:rsid w:val="00A3391E"/>
    <w:rPr>
      <w:rFonts w:ascii=".VnTime" w:eastAsia="Times New Roman" w:hAnsi=".VnTime" w:cs="Times New Roman"/>
      <w:sz w:val="24"/>
      <w:szCs w:val="24"/>
    </w:rPr>
  </w:style>
  <w:style w:type="character" w:styleId="PageNumber">
    <w:name w:val="page number"/>
    <w:basedOn w:val="DefaultParagraphFont"/>
    <w:rsid w:val="00A3391E"/>
  </w:style>
  <w:style w:type="paragraph" w:customStyle="1" w:styleId="Style5">
    <w:name w:val="Style5"/>
    <w:basedOn w:val="Normal"/>
    <w:uiPriority w:val="99"/>
    <w:rsid w:val="00A3391E"/>
    <w:pPr>
      <w:widowControl w:val="0"/>
      <w:autoSpaceDE w:val="0"/>
      <w:autoSpaceDN w:val="0"/>
      <w:adjustRightInd w:val="0"/>
      <w:spacing w:line="329" w:lineRule="exact"/>
      <w:ind w:firstLine="698"/>
      <w:jc w:val="both"/>
    </w:pPr>
    <w:rPr>
      <w:rFonts w:ascii="Times New Roman" w:hAnsi="Times New Roman"/>
    </w:rPr>
  </w:style>
  <w:style w:type="paragraph" w:customStyle="1" w:styleId="Style6">
    <w:name w:val="Style6"/>
    <w:basedOn w:val="Normal"/>
    <w:uiPriority w:val="99"/>
    <w:rsid w:val="00A3391E"/>
    <w:pPr>
      <w:widowControl w:val="0"/>
      <w:autoSpaceDE w:val="0"/>
      <w:autoSpaceDN w:val="0"/>
      <w:adjustRightInd w:val="0"/>
      <w:spacing w:line="326" w:lineRule="exact"/>
      <w:ind w:firstLine="713"/>
      <w:jc w:val="both"/>
    </w:pPr>
    <w:rPr>
      <w:rFonts w:ascii="Times New Roman" w:hAnsi="Times New Roman"/>
    </w:rPr>
  </w:style>
  <w:style w:type="character" w:customStyle="1" w:styleId="FontStyle19">
    <w:name w:val="Font Style19"/>
    <w:uiPriority w:val="99"/>
    <w:rsid w:val="00A3391E"/>
    <w:rPr>
      <w:rFonts w:ascii="Times New Roman" w:hAnsi="Times New Roman" w:cs="Times New Roman"/>
      <w:color w:val="000000"/>
      <w:sz w:val="26"/>
      <w:szCs w:val="26"/>
    </w:rPr>
  </w:style>
  <w:style w:type="character" w:customStyle="1" w:styleId="FontStyle14">
    <w:name w:val="Font Style14"/>
    <w:uiPriority w:val="99"/>
    <w:rsid w:val="00A3391E"/>
    <w:rPr>
      <w:rFonts w:ascii="Times New Roman" w:hAnsi="Times New Roman" w:cs="Times New Roman"/>
      <w:color w:val="000000"/>
      <w:sz w:val="26"/>
      <w:szCs w:val="26"/>
    </w:rPr>
  </w:style>
  <w:style w:type="paragraph" w:customStyle="1" w:styleId="CharCharCharCharCharCharCharCharChar1Char">
    <w:name w:val="Char Char Char Char Char Char Char Char Char1 Char"/>
    <w:basedOn w:val="Normal"/>
    <w:next w:val="Normal"/>
    <w:autoRedefine/>
    <w:semiHidden/>
    <w:rsid w:val="007A6500"/>
    <w:pPr>
      <w:spacing w:before="120" w:after="120" w:line="312" w:lineRule="auto"/>
    </w:pPr>
    <w:rPr>
      <w:rFonts w:ascii="Times New Roman" w:hAnsi="Times New Roman"/>
      <w:sz w:val="28"/>
      <w:szCs w:val="22"/>
    </w:rPr>
  </w:style>
  <w:style w:type="paragraph" w:styleId="BalloonText">
    <w:name w:val="Balloon Text"/>
    <w:basedOn w:val="Normal"/>
    <w:link w:val="BalloonTextChar"/>
    <w:uiPriority w:val="99"/>
    <w:semiHidden/>
    <w:unhideWhenUsed/>
    <w:rsid w:val="008761C6"/>
    <w:rPr>
      <w:rFonts w:ascii="Tahoma" w:hAnsi="Tahoma" w:cs="Tahoma"/>
      <w:sz w:val="16"/>
      <w:szCs w:val="16"/>
    </w:rPr>
  </w:style>
  <w:style w:type="character" w:customStyle="1" w:styleId="BalloonTextChar">
    <w:name w:val="Balloon Text Char"/>
    <w:link w:val="BalloonText"/>
    <w:uiPriority w:val="99"/>
    <w:semiHidden/>
    <w:rsid w:val="008761C6"/>
    <w:rPr>
      <w:rFonts w:ascii="Tahoma" w:eastAsia="Times New Roman" w:hAnsi="Tahoma" w:cs="Tahoma"/>
      <w:sz w:val="16"/>
      <w:szCs w:val="1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58347A"/>
    <w:pPr>
      <w:spacing w:after="160" w:line="240" w:lineRule="exact"/>
    </w:pPr>
    <w:rPr>
      <w:rFonts w:ascii="Times New Roman" w:hAnsi="Times New Roman"/>
      <w:sz w:val="28"/>
      <w:szCs w:val="22"/>
    </w:rPr>
  </w:style>
  <w:style w:type="character" w:customStyle="1" w:styleId="Vnbnnidung">
    <w:name w:val="Văn bản nội dung_"/>
    <w:link w:val="Vnbnnidung0"/>
    <w:rsid w:val="0058347A"/>
    <w:rPr>
      <w:sz w:val="25"/>
      <w:szCs w:val="25"/>
      <w:shd w:val="clear" w:color="auto" w:fill="FFFFFF"/>
    </w:rPr>
  </w:style>
  <w:style w:type="paragraph" w:customStyle="1" w:styleId="Vnbnnidung0">
    <w:name w:val="Văn bản nội dung"/>
    <w:basedOn w:val="Normal"/>
    <w:link w:val="Vnbnnidung"/>
    <w:rsid w:val="0058347A"/>
    <w:pPr>
      <w:widowControl w:val="0"/>
      <w:shd w:val="clear" w:color="auto" w:fill="FFFFFF"/>
      <w:spacing w:line="278" w:lineRule="exact"/>
    </w:pPr>
    <w:rPr>
      <w:rFonts w:ascii="Calibri" w:eastAsia="Calibri" w:hAnsi="Calibri"/>
      <w:sz w:val="25"/>
      <w:szCs w:val="25"/>
      <w:lang w:val="x-none" w:eastAsia="x-none"/>
    </w:rPr>
  </w:style>
  <w:style w:type="paragraph" w:styleId="Header">
    <w:name w:val="header"/>
    <w:basedOn w:val="Normal"/>
    <w:link w:val="HeaderChar"/>
    <w:uiPriority w:val="99"/>
    <w:unhideWhenUsed/>
    <w:rsid w:val="0058347A"/>
    <w:pPr>
      <w:tabs>
        <w:tab w:val="center" w:pos="4513"/>
        <w:tab w:val="right" w:pos="9026"/>
      </w:tabs>
    </w:pPr>
  </w:style>
  <w:style w:type="character" w:customStyle="1" w:styleId="HeaderChar">
    <w:name w:val="Header Char"/>
    <w:link w:val="Header"/>
    <w:uiPriority w:val="99"/>
    <w:rsid w:val="0058347A"/>
    <w:rPr>
      <w:rFonts w:ascii=".VnTime" w:eastAsia="Times New Roman" w:hAnsi=".VnTime" w:cs="Times New Roman"/>
      <w:sz w:val="24"/>
      <w:szCs w:val="24"/>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next w:val="Header"/>
    <w:semiHidden/>
    <w:rsid w:val="00342188"/>
    <w:pPr>
      <w:spacing w:after="160" w:line="240" w:lineRule="exact"/>
    </w:pPr>
    <w:rPr>
      <w:rFonts w:ascii="Times New Roman" w:hAnsi="Times New Roman"/>
      <w:sz w:val="28"/>
      <w:szCs w:val="22"/>
    </w:rPr>
  </w:style>
  <w:style w:type="paragraph" w:styleId="ListParagraph">
    <w:name w:val="List Paragraph"/>
    <w:basedOn w:val="Normal"/>
    <w:uiPriority w:val="34"/>
    <w:qFormat/>
    <w:rsid w:val="00FE301F"/>
    <w:pPr>
      <w:ind w:left="720"/>
      <w:contextualSpacing/>
    </w:pPr>
  </w:style>
  <w:style w:type="character" w:styleId="Hyperlink">
    <w:name w:val="Hyperlink"/>
    <w:uiPriority w:val="99"/>
    <w:semiHidden/>
    <w:unhideWhenUsed/>
    <w:rsid w:val="00465C8E"/>
    <w:rPr>
      <w:color w:val="0000FF"/>
      <w:u w:val="single"/>
    </w:rPr>
  </w:style>
  <w:style w:type="table" w:styleId="TableGrid">
    <w:name w:val="Table Grid"/>
    <w:basedOn w:val="TableNormal"/>
    <w:uiPriority w:val="59"/>
    <w:rsid w:val="0050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F4357"/>
    <w:pPr>
      <w:spacing w:before="120"/>
      <w:ind w:firstLine="720"/>
      <w:jc w:val="both"/>
    </w:pPr>
    <w:rPr>
      <w:sz w:val="28"/>
    </w:rPr>
  </w:style>
  <w:style w:type="character" w:customStyle="1" w:styleId="BodyTextIndent2Char">
    <w:name w:val="Body Text Indent 2 Char"/>
    <w:link w:val="BodyTextIndent2"/>
    <w:rsid w:val="00EF4357"/>
    <w:rPr>
      <w:rFonts w:ascii=".VnTime" w:eastAsia="Times New Roman" w:hAnsi=".VnTime"/>
      <w:sz w:val="28"/>
      <w:szCs w:val="24"/>
    </w:rPr>
  </w:style>
  <w:style w:type="paragraph" w:customStyle="1" w:styleId="Body">
    <w:name w:val="Body"/>
    <w:rsid w:val="00652B8E"/>
    <w:pPr>
      <w:pBdr>
        <w:top w:val="nil"/>
        <w:left w:val="nil"/>
        <w:bottom w:val="nil"/>
        <w:right w:val="nil"/>
        <w:between w:val="nil"/>
        <w:bar w:val="nil"/>
      </w:pBdr>
    </w:pPr>
    <w:rPr>
      <w:rFonts w:ascii="Times New Roman" w:eastAsia="Arial Unicode MS" w:hAnsi="Times New Roman" w:cs="Arial Unicode MS"/>
      <w:color w:val="000000"/>
      <w:sz w:val="28"/>
      <w:szCs w:val="28"/>
      <w:u w:color="000000"/>
      <w:bdr w:val="nil"/>
    </w:rPr>
  </w:style>
  <w:style w:type="paragraph" w:styleId="FootnoteText">
    <w:name w:val="footnote text"/>
    <w:aliases w:val="single space,ft, Car Car Car Car, Car Car Car,Car, Car Car, Car,Car Car Car Car,Car Car Car,Car Car,Footnote Text Char Char Char Char Char,Footnote Text Char Char Char Char Char Char Ch,fn, C,C,FOOTNOTE"/>
    <w:link w:val="FootnoteTextChar"/>
    <w:qFormat/>
    <w:rsid w:val="00652B8E"/>
    <w:pPr>
      <w:pBdr>
        <w:top w:val="nil"/>
        <w:left w:val="nil"/>
        <w:bottom w:val="nil"/>
        <w:right w:val="nil"/>
        <w:between w:val="nil"/>
        <w:bar w:val="nil"/>
      </w:pBdr>
    </w:pPr>
    <w:rPr>
      <w:rFonts w:ascii="Times New Roman" w:eastAsia="Times New Roman" w:hAnsi="Times New Roman"/>
      <w:color w:val="000000"/>
      <w:u w:color="000000"/>
      <w:bdr w:val="nil"/>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fn Char, C Char,C Char,FOOTNOTE Char"/>
    <w:link w:val="FootnoteText"/>
    <w:qFormat/>
    <w:rsid w:val="00652B8E"/>
    <w:rPr>
      <w:rFonts w:ascii="Times New Roman" w:eastAsia="Times New Roman" w:hAnsi="Times New Roman"/>
      <w:color w:val="000000"/>
      <w:u w:color="000000"/>
      <w:bdr w:val="nil"/>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f1,Footnote Ref in FtNote,SUPERS"/>
    <w:qFormat/>
    <w:rsid w:val="00652B8E"/>
    <w:rPr>
      <w:vertAlign w:val="superscript"/>
    </w:rPr>
  </w:style>
  <w:style w:type="character" w:customStyle="1" w:styleId="NormalWebChar">
    <w:name w:val="Normal (Web) Char"/>
    <w:aliases w:val=" Char Char Char Char,Char Char Char Char"/>
    <w:link w:val="NormalWeb"/>
    <w:uiPriority w:val="99"/>
    <w:rsid w:val="005F4C9F"/>
    <w:rPr>
      <w:rFonts w:ascii="Times New Roman" w:eastAsia="Times New Roman" w:hAnsi="Times New Roman"/>
      <w:sz w:val="24"/>
      <w:szCs w:val="24"/>
    </w:rPr>
  </w:style>
  <w:style w:type="character" w:customStyle="1" w:styleId="Heading1Char">
    <w:name w:val="Heading 1 Char"/>
    <w:link w:val="Heading1"/>
    <w:rsid w:val="002B6344"/>
    <w:rPr>
      <w:rFonts w:ascii="VNtimes new roman" w:eastAsia="Times New Roman" w:hAnsi="VNtimes new roman"/>
      <w:i/>
      <w:sz w:val="24"/>
    </w:rPr>
  </w:style>
  <w:style w:type="paragraph" w:styleId="NoSpacing">
    <w:name w:val="No Spacing"/>
    <w:link w:val="NoSpacingChar"/>
    <w:uiPriority w:val="1"/>
    <w:qFormat/>
    <w:rsid w:val="002B6344"/>
    <w:rPr>
      <w:rFonts w:ascii="Times New Roman" w:eastAsia="Times New Roman" w:hAnsi="Times New Roman"/>
      <w:sz w:val="28"/>
      <w:szCs w:val="28"/>
    </w:rPr>
  </w:style>
  <w:style w:type="character" w:customStyle="1" w:styleId="NoSpacingChar">
    <w:name w:val="No Spacing Char"/>
    <w:link w:val="NoSpacing"/>
    <w:uiPriority w:val="1"/>
    <w:rsid w:val="002B6344"/>
    <w:rPr>
      <w:rFonts w:ascii="Times New Roman" w:eastAsia="Times New Roman" w:hAnsi="Times New Roman"/>
      <w:sz w:val="28"/>
      <w:szCs w:val="28"/>
    </w:rPr>
  </w:style>
  <w:style w:type="paragraph" w:customStyle="1" w:styleId="CharCharCharCharCharCharCharCharChar1Char0">
    <w:name w:val="Char Char Char Char Char Char Char Char Char1 Char"/>
    <w:basedOn w:val="Normal"/>
    <w:next w:val="Normal"/>
    <w:autoRedefine/>
    <w:semiHidden/>
    <w:rsid w:val="00AC44D4"/>
    <w:pPr>
      <w:spacing w:before="120" w:after="120" w:line="312" w:lineRule="auto"/>
    </w:pPr>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1456">
      <w:bodyDiv w:val="1"/>
      <w:marLeft w:val="0"/>
      <w:marRight w:val="0"/>
      <w:marTop w:val="0"/>
      <w:marBottom w:val="0"/>
      <w:divBdr>
        <w:top w:val="none" w:sz="0" w:space="0" w:color="auto"/>
        <w:left w:val="none" w:sz="0" w:space="0" w:color="auto"/>
        <w:bottom w:val="none" w:sz="0" w:space="0" w:color="auto"/>
        <w:right w:val="none" w:sz="0" w:space="0" w:color="auto"/>
      </w:divBdr>
    </w:div>
    <w:div w:id="736706418">
      <w:bodyDiv w:val="1"/>
      <w:marLeft w:val="0"/>
      <w:marRight w:val="0"/>
      <w:marTop w:val="0"/>
      <w:marBottom w:val="0"/>
      <w:divBdr>
        <w:top w:val="none" w:sz="0" w:space="0" w:color="auto"/>
        <w:left w:val="none" w:sz="0" w:space="0" w:color="auto"/>
        <w:bottom w:val="none" w:sz="0" w:space="0" w:color="auto"/>
        <w:right w:val="none" w:sz="0" w:space="0" w:color="auto"/>
      </w:divBdr>
    </w:div>
    <w:div w:id="1535264770">
      <w:bodyDiv w:val="1"/>
      <w:marLeft w:val="0"/>
      <w:marRight w:val="0"/>
      <w:marTop w:val="0"/>
      <w:marBottom w:val="0"/>
      <w:divBdr>
        <w:top w:val="none" w:sz="0" w:space="0" w:color="auto"/>
        <w:left w:val="none" w:sz="0" w:space="0" w:color="auto"/>
        <w:bottom w:val="none" w:sz="0" w:space="0" w:color="auto"/>
        <w:right w:val="none" w:sz="0" w:space="0" w:color="auto"/>
      </w:divBdr>
    </w:div>
    <w:div w:id="204323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4980D-A3DB-4758-B6CF-96670171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Administrator</cp:lastModifiedBy>
  <cp:revision>7</cp:revision>
  <cp:lastPrinted>2022-11-20T03:47:00Z</cp:lastPrinted>
  <dcterms:created xsi:type="dcterms:W3CDTF">2023-06-16T02:51:00Z</dcterms:created>
  <dcterms:modified xsi:type="dcterms:W3CDTF">2023-06-19T07:41:00Z</dcterms:modified>
</cp:coreProperties>
</file>